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B62FF0">
      <w:pPr>
        <w:pStyle w:val="2"/>
        <w:spacing w:before="240" w:after="120"/>
        <w:rPr>
          <w:rFonts w:hint="eastAsia" w:ascii="黑体" w:hAnsi="黑体" w:eastAsia="黑体" w:cs="黑体"/>
          <w:color w:val="000000" w:themeColor="text1"/>
          <w:sz w:val="30"/>
          <w:szCs w:val="30"/>
          <w14:textFill>
            <w14:solidFill>
              <w14:schemeClr w14:val="tx1"/>
            </w14:solidFill>
          </w14:textFill>
        </w:rPr>
      </w:pPr>
      <w:r>
        <w:rPr>
          <w:rFonts w:hint="eastAsia" w:ascii="黑体" w:hAnsi="黑体" w:eastAsia="黑体" w:cs="黑体"/>
          <w:b/>
          <w:color w:val="000000" w:themeColor="text1"/>
          <w:sz w:val="30"/>
          <w:szCs w:val="30"/>
          <w14:textFill>
            <w14:solidFill>
              <w14:schemeClr w14:val="tx1"/>
            </w14:solidFill>
          </w14:textFill>
        </w:rPr>
        <w:t>第二章  调查方案设计</w:t>
      </w:r>
    </w:p>
    <w:p w14:paraId="32AA1065">
      <w:pPr>
        <w:pStyle w:val="3"/>
        <w:spacing w:before="180" w:after="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一、研究目标</w:t>
      </w:r>
    </w:p>
    <w:p w14:paraId="08DFB469">
      <w:pPr>
        <w:spacing w:before="0" w:after="120"/>
        <w:ind w:firstLine="420"/>
      </w:pPr>
      <w:r>
        <w:rPr>
          <w:sz w:val="22"/>
        </w:rPr>
        <w:t>本研究聚焦粉丝经济视角下演唱会对Z世代消费意愿的影响机制，以天津为例，综合运用定性研究与定量研究方法，拟达成以下四个层次的研究目标：</w:t>
      </w:r>
    </w:p>
    <w:p w14:paraId="2E22F721">
      <w:pPr>
        <w:spacing w:before="0" w:after="120"/>
        <w:ind w:firstLine="420"/>
      </w:pPr>
      <w:r>
        <w:rPr>
          <w:b/>
          <w:sz w:val="22"/>
        </w:rPr>
        <w:t>（一）刻画观演决策的影响因素结构。</w:t>
      </w:r>
      <w:r>
        <w:rPr>
          <w:sz w:val="22"/>
        </w:rPr>
        <w:t>深入探究Z世代参与演唱会等线下观演活动的核心驱动因素与关键阻碍因素，系统归纳影响观演决策的动机-阻碍双维度变量体系，为后续问卷量表设计提供理论依据。</w:t>
      </w:r>
    </w:p>
    <w:p w14:paraId="653E361C">
      <w:pPr>
        <w:spacing w:before="0" w:after="120"/>
        <w:ind w:firstLine="420"/>
      </w:pPr>
      <w:r>
        <w:rPr>
          <w:b/>
          <w:sz w:val="22"/>
        </w:rPr>
        <w:t>（二）构建Z世代观演消费的行为画像。</w:t>
      </w:r>
      <w:r>
        <w:rPr>
          <w:sz w:val="22"/>
        </w:rPr>
        <w:t>从消费态度与消费行为两个维度出发，勾勒Z世代粉丝经济型观演消费的行为特征，重点关注门票、周边、交通住宿、城市文旅等多场景消费链条及其相互关联。</w:t>
      </w:r>
    </w:p>
    <w:p w14:paraId="29364F82">
      <w:pPr>
        <w:spacing w:before="0" w:after="120"/>
        <w:ind w:firstLine="420"/>
      </w:pPr>
      <w:r>
        <w:rPr>
          <w:b/>
          <w:sz w:val="22"/>
        </w:rPr>
        <w:t>（三）建立演唱会影响消费意愿的路径模型。</w:t>
      </w:r>
      <w:r>
        <w:rPr>
          <w:sz w:val="22"/>
        </w:rPr>
        <w:t>基于动机-阻碍结构方程模型（SEM），量化分析情绪价值、群体认同、仪式参与等内因变量与成本阻碍、服务顾虑等负向变量，对参与意愿与消费意愿的直接效应与间接路径，揭示粉丝经济驱动消费的内在机制。</w:t>
      </w:r>
    </w:p>
    <w:p w14:paraId="6FB66BE2">
      <w:pPr>
        <w:spacing w:before="0" w:after="120"/>
        <w:ind w:firstLine="420"/>
      </w:pPr>
      <w:r>
        <w:rPr>
          <w:b/>
          <w:sz w:val="22"/>
        </w:rPr>
        <w:t>（四）为天津演唱会经济的运营优化提供决策参考。</w:t>
      </w:r>
      <w:r>
        <w:rPr>
          <w:sz w:val="22"/>
        </w:rPr>
        <w:t>结合离散选择模型（DCM）对观演套餐偏好的分析，</w:t>
      </w:r>
      <w:r>
        <w:rPr>
          <w:rFonts w:hint="eastAsia"/>
          <w:sz w:val="22"/>
          <w:lang w:val="en-US" w:eastAsia="zh-CN"/>
        </w:rPr>
        <w:t>和线性加权多目标规划为例，</w:t>
      </w:r>
      <w:r>
        <w:rPr>
          <w:sz w:val="22"/>
        </w:rPr>
        <w:t>为天津文旅部门精准识别Z世代消费偏好、优化演唱会承接策略和文旅融合产品设计提供可量化的数据支撑与政策建议。</w:t>
      </w:r>
    </w:p>
    <w:p w14:paraId="20643226">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二、调查对象与目标总体</w:t>
      </w:r>
    </w:p>
    <w:p w14:paraId="77FE64D7">
      <w:pPr>
        <w:spacing w:before="0" w:after="120"/>
        <w:ind w:firstLine="420"/>
      </w:pPr>
      <w:r>
        <w:rPr>
          <w:sz w:val="22"/>
        </w:rPr>
        <w:t>本研究的目标总体为中国内地Z世代年轻群体（1995—2009年出生，即17—31岁），不限定是否具有线下观演经历，具体涵盖三类受访者：（1）有过线下观演经历的现有消费者；（2）尚无观演经历但有明确偶像/乐队偏好、对线下演出存在潜在意愿的潜在消费者；（3）对现场演出无特别兴趣的非目标消费者（作为参照组，辅助识别消费分化边界）。三类样本并行采集，有助于完整刻画粉丝经济观演消费的市场结构，并为天津文旅部门评估潜在市场规模提供依据。</w:t>
      </w:r>
    </w:p>
    <w:p w14:paraId="522B3AAA">
      <w:pPr>
        <w:spacing w:before="0" w:after="120"/>
        <w:ind w:firstLine="420"/>
      </w:pPr>
      <w:r>
        <w:rPr>
          <w:sz w:val="22"/>
        </w:rPr>
        <w:t>在地域分布上，根据研究的以天津为例这一定位，样本进一步区分为天津本地观众与外地来津观众两类，以考察城市文旅效应对外地粉丝的差异化吸引力，并评估演唱会对天津入境消费的拉动效应。</w:t>
      </w:r>
    </w:p>
    <w:p w14:paraId="60028A96">
      <w:pPr>
        <w:spacing w:before="0" w:after="120"/>
        <w:ind w:firstLine="420"/>
      </w:pPr>
      <w:r>
        <w:rPr>
          <w:sz w:val="22"/>
        </w:rPr>
        <w:t>调查时间为2025年</w:t>
      </w:r>
      <w:r>
        <w:rPr>
          <w:rFonts w:hint="eastAsia"/>
          <w:sz w:val="22"/>
          <w:lang w:val="en-US" w:eastAsia="zh-CN"/>
        </w:rPr>
        <w:t>12</w:t>
      </w:r>
      <w:r>
        <w:rPr>
          <w:sz w:val="22"/>
        </w:rPr>
        <w:t>月至2025年</w:t>
      </w:r>
      <w:r>
        <w:rPr>
          <w:rFonts w:hint="eastAsia"/>
          <w:sz w:val="22"/>
          <w:lang w:val="en-US" w:eastAsia="zh-CN"/>
        </w:rPr>
        <w:t>3</w:t>
      </w:r>
      <w:r>
        <w:rPr>
          <w:sz w:val="22"/>
        </w:rPr>
        <w:t>月，涵盖预调查阶段与正式问卷发放阶段。</w:t>
      </w:r>
    </w:p>
    <w:p w14:paraId="080036F1">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三、技术路线</w:t>
      </w:r>
    </w:p>
    <w:p w14:paraId="5398754D">
      <w:pPr>
        <w:spacing w:before="0" w:after="120"/>
        <w:ind w:firstLine="420"/>
      </w:pPr>
      <w:r>
        <w:rPr>
          <w:sz w:val="22"/>
        </w:rPr>
        <w:t>本研究采用混合研究法（Mixed Methods Research），遵循"定性研究为纲，定量研究为体"的设计原则，构建从文献研究到大规模定量调查的完整闭环技术路线，如下所示：</w:t>
      </w:r>
    </w:p>
    <w:p w14:paraId="0FDDFCAA">
      <w:pPr>
        <w:spacing w:before="60" w:after="180"/>
        <w:jc w:val="center"/>
      </w:pPr>
      <w:r>
        <w:rPr>
          <w:i/>
        </w:rPr>
        <w:t>表1  混合研究法技术路线</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1661"/>
        <w:gridCol w:w="1661"/>
        <w:gridCol w:w="1661"/>
        <w:gridCol w:w="1661"/>
        <w:gridCol w:w="1661"/>
      </w:tblGrid>
      <w:tr>
        <w:tc>
          <w:tcPr>
            <w:tcW w:type="dxa" w:w="1296"/>
            <w:shd w:val="clear" w:color="auto" w:fill="2E4057"/>
          </w:tcPr>
          <w:p>
            <w:pPr>
              <w:jc w:val="center"/>
            </w:pPr>
            <w:r>
              <w:rPr>
                <w:b/>
                <w:color w:val="FFFFFF"/>
                <w:sz w:val="20"/>
              </w:rPr>
              <w:t>研究阶段</w:t>
            </w:r>
          </w:p>
        </w:tc>
        <w:tc>
          <w:tcPr>
            <w:tcW w:type="dxa" w:w="3312"/>
            <w:shd w:val="clear" w:color="auto" w:fill="2E4057"/>
          </w:tcPr>
          <w:p>
            <w:pPr>
              <w:jc w:val="center"/>
            </w:pPr>
            <w:r>
              <w:rPr>
                <w:b/>
                <w:color w:val="FFFFFF"/>
                <w:sz w:val="20"/>
              </w:rPr>
              <w:t>主要工作</w:t>
            </w:r>
          </w:p>
        </w:tc>
        <w:tc>
          <w:tcPr>
            <w:tcW w:type="dxa" w:w="1728"/>
            <w:shd w:val="clear" w:color="auto" w:fill="2E4057"/>
          </w:tcPr>
          <w:p>
            <w:pPr>
              <w:jc w:val="center"/>
            </w:pPr>
            <w:r>
              <w:rPr>
                <w:b/>
                <w:color w:val="FFFFFF"/>
                <w:sz w:val="20"/>
              </w:rPr>
              <w:t>研究方法</w:t>
            </w:r>
          </w:p>
        </w:tc>
        <w:tc>
          <w:tcPr>
            <w:tcW w:type="dxa" w:w="1728"/>
            <w:shd w:val="clear" w:color="auto" w:fill="2E4057"/>
          </w:tcPr>
          <w:p>
            <w:pPr>
              <w:jc w:val="center"/>
            </w:pPr>
            <w:r>
              <w:rPr>
                <w:b/>
                <w:color w:val="FFFFFF"/>
                <w:sz w:val="20"/>
              </w:rPr>
              <w:t>分析工具</w:t>
            </w:r>
          </w:p>
        </w:tc>
        <w:tc>
          <w:tcPr>
            <w:tcW w:type="dxa" w:w="2160"/>
            <w:shd w:val="clear" w:color="auto" w:fill="2E4057"/>
          </w:tcPr>
          <w:p>
            <w:pPr>
              <w:jc w:val="center"/>
            </w:pPr>
            <w:r>
              <w:rPr>
                <w:b/>
                <w:color w:val="FFFFFF"/>
                <w:sz w:val="20"/>
              </w:rPr>
              <w:t>核心产出</w:t>
            </w:r>
          </w:p>
        </w:tc>
      </w:tr>
      <w:tr>
        <w:tc>
          <w:tcPr>
            <w:tcW w:type="dxa" w:w="1296"/>
          </w:tcPr>
          <w:p>
            <w:pPr>
              <w:jc w:val="center"/>
            </w:pPr>
            <w:r>
              <w:rPr>
                <w:sz w:val="19"/>
              </w:rPr>
              <w:t>① 文献综述</w:t>
              <w:br/>
              <w:t>与概念建模</w:t>
            </w:r>
          </w:p>
        </w:tc>
        <w:tc>
          <w:tcPr>
            <w:tcW w:type="dxa" w:w="3312"/>
          </w:tcPr>
          <w:p>
            <w:pPr>
              <w:jc w:val="center"/>
            </w:pPr>
            <w:r>
              <w:rPr>
                <w:sz w:val="19"/>
              </w:rPr>
              <w:t>系统梳理粉丝经济、Z世代消费、</w:t>
              <w:br/>
              <w:t>演唱会经济三大文献领域</w:t>
            </w:r>
          </w:p>
        </w:tc>
        <w:tc>
          <w:tcPr>
            <w:tcW w:type="dxa" w:w="1728"/>
          </w:tcPr>
          <w:p>
            <w:pPr>
              <w:jc w:val="center"/>
            </w:pPr>
            <w:r>
              <w:rPr>
                <w:sz w:val="19"/>
              </w:rPr>
              <w:t>文献分析法、</w:t>
              <w:br/>
              <w:t>概念整合</w:t>
            </w:r>
          </w:p>
        </w:tc>
        <w:tc>
          <w:tcPr>
            <w:tcW w:type="dxa" w:w="1728"/>
          </w:tcPr>
          <w:p>
            <w:pPr>
              <w:jc w:val="center"/>
            </w:pPr>
            <w:r>
              <w:rPr>
                <w:sz w:val="19"/>
              </w:rPr>
              <w:t>Zotero/知网/</w:t>
              <w:br/>
              <w:t>WoS</w:t>
            </w:r>
          </w:p>
        </w:tc>
        <w:tc>
          <w:tcPr>
            <w:tcW w:type="dxa" w:w="2160"/>
          </w:tcPr>
          <w:p>
            <w:pPr>
              <w:jc w:val="center"/>
            </w:pPr>
            <w:r>
              <w:rPr>
                <w:sz w:val="19"/>
              </w:rPr>
              <w:t>10个初始潜变量</w:t>
              <w:br/>
              <w:t>及概念框架</w:t>
            </w:r>
          </w:p>
        </w:tc>
      </w:tr>
      <w:tr>
        <w:tc>
          <w:tcPr>
            <w:tcW w:type="dxa" w:w="1296"/>
          </w:tcPr>
          <w:p>
            <w:pPr>
              <w:jc w:val="center"/>
            </w:pPr>
            <w:r>
              <w:rPr>
                <w:sz w:val="19"/>
              </w:rPr>
              <w:t>② 定性研究</w:t>
              <w:br/>
              <w:t>与访谈</w:t>
            </w:r>
          </w:p>
        </w:tc>
        <w:tc>
          <w:tcPr>
            <w:tcW w:type="dxa" w:w="3312"/>
          </w:tcPr>
          <w:p>
            <w:pPr>
              <w:jc w:val="center"/>
            </w:pPr>
            <w:r>
              <w:rPr>
                <w:sz w:val="19"/>
              </w:rPr>
              <w:t>现场拦截访谈（n=17）、深度访谈</w:t>
              <w:br/>
              <w:t>（n=6）、焦点小组（2场）;</w:t>
              <w:br/>
              <w:t>LLM文本分析（社媒评论）</w:t>
            </w:r>
          </w:p>
        </w:tc>
        <w:tc>
          <w:tcPr>
            <w:tcW w:type="dxa" w:w="1728"/>
          </w:tcPr>
          <w:p>
            <w:pPr>
              <w:jc w:val="center"/>
            </w:pPr>
            <w:r>
              <w:rPr>
                <w:sz w:val="19"/>
              </w:rPr>
              <w:t>拦截访谈、IDI、</w:t>
              <w:br/>
              <w:t>FGD、LLM</w:t>
            </w:r>
          </w:p>
        </w:tc>
        <w:tc>
          <w:tcPr>
            <w:tcW w:type="dxa" w:w="1728"/>
          </w:tcPr>
          <w:p>
            <w:pPr>
              <w:jc w:val="center"/>
            </w:pPr>
            <w:r>
              <w:rPr>
                <w:sz w:val="19"/>
              </w:rPr>
              <w:t>词云图/扎根理论/</w:t>
              <w:br/>
              <w:t>LLM（另行报告）</w:t>
            </w:r>
          </w:p>
        </w:tc>
        <w:tc>
          <w:tcPr>
            <w:tcW w:type="dxa" w:w="2160"/>
          </w:tcPr>
          <w:p>
            <w:pPr>
              <w:jc w:val="center"/>
            </w:pPr>
            <w:r>
              <w:rPr>
                <w:sz w:val="19"/>
              </w:rPr>
              <w:t>校正量表题项池</w:t>
              <w:br/>
              <w:t>痛点/动机清单</w:t>
            </w:r>
          </w:p>
        </w:tc>
      </w:tr>
      <w:tr>
        <w:tc>
          <w:tcPr>
            <w:tcW w:type="dxa" w:w="1296"/>
          </w:tcPr>
          <w:p>
            <w:pPr>
              <w:jc w:val="center"/>
            </w:pPr>
            <w:r>
              <w:rPr>
                <w:sz w:val="19"/>
              </w:rPr>
              <w:t>③ 预调查</w:t>
              <w:br/>
              <w:t>与量表筛选</w:t>
            </w:r>
          </w:p>
        </w:tc>
        <w:tc>
          <w:tcPr>
            <w:tcW w:type="dxa" w:w="3312"/>
          </w:tcPr>
          <w:p>
            <w:pPr>
              <w:jc w:val="center"/>
            </w:pPr>
            <w:r>
              <w:rPr>
                <w:sz w:val="19"/>
              </w:rPr>
              <w:t>小样本定向投放（n≈50），</w:t>
              <w:br/>
              <w:t>依次进行CITC、Cronbach α、</w:t>
              <w:br/>
              <w:t>EFA三轮统计筛选</w:t>
            </w:r>
          </w:p>
        </w:tc>
        <w:tc>
          <w:tcPr>
            <w:tcW w:type="dxa" w:w="1728"/>
          </w:tcPr>
          <w:p>
            <w:pPr>
              <w:jc w:val="center"/>
            </w:pPr>
            <w:r>
              <w:rPr>
                <w:sz w:val="19"/>
              </w:rPr>
              <w:t>CITC法、信度</w:t>
              <w:br/>
              <w:t>检验、EFA</w:t>
            </w:r>
          </w:p>
        </w:tc>
        <w:tc>
          <w:tcPr>
            <w:tcW w:type="dxa" w:w="1728"/>
          </w:tcPr>
          <w:p>
            <w:pPr>
              <w:jc w:val="center"/>
            </w:pPr>
            <w:r>
              <w:rPr>
                <w:sz w:val="19"/>
              </w:rPr>
              <w:t>Python/</w:t>
              <w:br/>
              <w:t>(pingouin/sklearn)</w:t>
            </w:r>
          </w:p>
        </w:tc>
        <w:tc>
          <w:tcPr>
            <w:tcW w:type="dxa" w:w="2160"/>
          </w:tcPr>
          <w:p>
            <w:pPr>
              <w:jc w:val="center"/>
            </w:pPr>
            <w:r>
              <w:rPr>
                <w:sz w:val="19"/>
              </w:rPr>
              <w:t>精简量表（9个构念）</w:t>
              <w:br/>
              <w:t>进入正式问卷</w:t>
            </w:r>
          </w:p>
        </w:tc>
      </w:tr>
      <w:tr>
        <w:tc>
          <w:tcPr>
            <w:tcW w:type="dxa" w:w="1296"/>
          </w:tcPr>
          <w:p>
            <w:pPr>
              <w:jc w:val="center"/>
            </w:pPr>
            <w:r>
              <w:rPr>
                <w:sz w:val="19"/>
              </w:rPr>
              <w:t>④ 大规模</w:t>
              <w:br/>
              <w:t>定量调查</w:t>
            </w:r>
          </w:p>
        </w:tc>
        <w:tc>
          <w:tcPr>
            <w:tcW w:type="dxa" w:w="3312"/>
          </w:tcPr>
          <w:p>
            <w:pPr>
              <w:jc w:val="center"/>
            </w:pPr>
            <w:r>
              <w:rPr>
                <w:sz w:val="19"/>
              </w:rPr>
              <w:t>分层多阶段抽样问卷，</w:t>
              <w:br/>
              <w:t>线上+线下双渠道正式发放，</w:t>
              <w:br/>
              <w:t>回收清洗后有效样本300份</w:t>
            </w:r>
          </w:p>
        </w:tc>
        <w:tc>
          <w:tcPr>
            <w:tcW w:type="dxa" w:w="1728"/>
          </w:tcPr>
          <w:p>
            <w:pPr>
              <w:jc w:val="center"/>
            </w:pPr>
            <w:r>
              <w:rPr>
                <w:sz w:val="19"/>
              </w:rPr>
              <w:t>分层整群抽样、</w:t>
              <w:br/>
              <w:t>便利/配额抽样</w:t>
            </w:r>
          </w:p>
        </w:tc>
        <w:tc>
          <w:tcPr>
            <w:tcW w:type="dxa" w:w="1728"/>
          </w:tcPr>
          <w:p>
            <w:pPr>
              <w:jc w:val="center"/>
            </w:pPr>
            <w:r>
              <w:rPr>
                <w:sz w:val="19"/>
              </w:rPr>
              <w:t>问卷星/</w:t>
              <w:br/>
              <w:t>线下纸质</w:t>
            </w:r>
          </w:p>
        </w:tc>
        <w:tc>
          <w:tcPr>
            <w:tcW w:type="dxa" w:w="2160"/>
          </w:tcPr>
          <w:p>
            <w:pPr>
              <w:jc w:val="center"/>
            </w:pPr>
            <w:r>
              <w:rPr>
                <w:sz w:val="19"/>
              </w:rPr>
              <w:t>有效问卷 N=300</w:t>
              <w:br/>
              <w:t>（清洗后最终样本）</w:t>
            </w:r>
          </w:p>
        </w:tc>
      </w:tr>
      <w:tr>
        <w:tc>
          <w:tcPr>
            <w:tcW w:type="dxa" w:w="1296"/>
          </w:tcPr>
          <w:p>
            <w:pPr>
              <w:jc w:val="center"/>
            </w:pPr>
            <w:r>
              <w:rPr>
                <w:sz w:val="19"/>
              </w:rPr>
              <w:t>⑤ 多模型</w:t>
              <w:br/>
              <w:t>综合分析</w:t>
            </w:r>
          </w:p>
        </w:tc>
        <w:tc>
          <w:tcPr>
            <w:tcW w:type="dxa" w:w="3312"/>
          </w:tcPr>
          <w:p>
            <w:pPr>
              <w:jc w:val="center"/>
            </w:pPr>
            <w:r>
              <w:rPr>
                <w:sz w:val="19"/>
              </w:rPr>
              <w:t>双路SEM、DCM离散选择模型、</w:t>
              <w:br/>
              <w:t>线性加权多目标规划、</w:t>
              <w:br/>
              <w:t>用户聚类画像及前端展示</w:t>
            </w:r>
          </w:p>
        </w:tc>
        <w:tc>
          <w:tcPr>
            <w:tcW w:type="dxa" w:w="1728"/>
          </w:tcPr>
          <w:p>
            <w:pPr>
              <w:jc w:val="center"/>
            </w:pPr>
            <w:r>
              <w:rPr>
                <w:sz w:val="19"/>
              </w:rPr>
              <w:t>SEM、DCM、</w:t>
              <w:br/>
              <w:t>聚类、规划</w:t>
            </w:r>
          </w:p>
        </w:tc>
        <w:tc>
          <w:tcPr>
            <w:tcW w:type="dxa" w:w="1728"/>
          </w:tcPr>
          <w:p>
            <w:pPr>
              <w:jc w:val="center"/>
            </w:pPr>
            <w:r>
              <w:rPr>
                <w:sz w:val="19"/>
              </w:rPr>
              <w:t>Python</w:t>
              <w:br/>
              <w:t>(semopy/sklearn/</w:t>
              <w:br/>
              <w:t>docplex)</w:t>
            </w:r>
          </w:p>
        </w:tc>
        <w:tc>
          <w:tcPr>
            <w:tcW w:type="dxa" w:w="2160"/>
          </w:tcPr>
          <w:p>
            <w:pPr>
              <w:jc w:val="center"/>
            </w:pPr>
            <w:r>
              <w:rPr>
                <w:sz w:val="19"/>
              </w:rPr>
              <w:t>研究结论与</w:t>
              <w:br/>
              <w:t>决策建议</w:t>
            </w:r>
          </w:p>
        </w:tc>
      </w:tr>
    </w:tbl>
    <w:p w14:paraId="67F68437">
      <w:pPr>
        <w:spacing w:before="0" w:after="120"/>
        <w:ind w:firstLine="420"/>
      </w:pPr>
      <w:r>
        <w:rPr>
          <w:sz w:val="22"/>
        </w:rPr>
        <w:t>上述五个阶段形成螺旋上升的闭环：定性研究的发现校正量表内容，预调查的统计筛选决定进入正式问卷的变量数量，正式问卷的实证结果最终验证并可能修正理论框架中的路径假设。</w:t>
      </w:r>
    </w:p>
    <w:p w14:paraId="6045D046">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四、定性研究</w:t>
      </w:r>
    </w:p>
    <w:p w14:paraId="2F7916EE">
      <w:pPr>
        <w:spacing w:before="0" w:after="120"/>
        <w:ind w:firstLine="420"/>
      </w:pPr>
      <w:r>
        <w:rPr>
          <w:sz w:val="22"/>
        </w:rPr>
        <w:t>定性研究阶段综合运用三种方法，分别从不同维度服务于初始潜变量的确认与校正。文本分析部分由团队成员另行负责，本节不展开。</w:t>
      </w:r>
    </w:p>
    <w:p w14:paraId="1067E46A">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（一）现场拦截访谈</w:t>
      </w:r>
    </w:p>
    <w:p w14:paraId="34704A28">
      <w:pPr>
        <w:spacing w:before="0" w:after="120"/>
        <w:ind w:firstLine="420"/>
      </w:pPr>
      <w:r>
        <w:rPr>
          <w:sz w:val="22"/>
        </w:rPr>
        <w:t>课题组于2025年2月赴天津奥林匹克中心，在大张伟演唱会散场后对现场粉丝实施结构化拦截访谈（On-site Intercept Interview）。拦截访谈选择散场出口区域进行，此时受访者情绪正处于观演体验的"峰值-终值"区间（Peak-End Rule），对当日体验的痛点与亮点感知最为鲜明，有效规避了事后回忆偏差。</w:t>
      </w:r>
    </w:p>
    <w:p w14:paraId="5E6F56C6">
      <w:pPr>
        <w:spacing w:before="0" w:after="120"/>
        <w:ind w:firstLine="420"/>
      </w:pPr>
      <w:r>
        <w:rPr>
          <w:sz w:val="22"/>
        </w:rPr>
        <w:t>本次拦截访谈共完成有效访谈17份，访谈时长约5—8分钟/人，主要围绕以下三个核心问题展开：（1）本次跨城/本地观演的主要动机是什么？（2）观演过程中最让您满意和最令您感到不便或担忧的环节分别是什么？（3）本次观演在非门票支出上的大致金额及主要花费方向。</w:t>
      </w:r>
    </w:p>
    <w:p w14:paraId="7FA4AC67">
      <w:pPr>
        <w:spacing w:before="0" w:after="120"/>
        <w:ind w:firstLine="420"/>
      </w:pPr>
      <w:r>
        <w:rPr>
          <w:sz w:val="22"/>
        </w:rPr>
        <w:t>访谈结果表明，受访者对"成本价值阻碍"（CB）中的住宿涨价（被提及13次）和交通疏散（被提及9次）痛点感受最为强烈，同时"情绪价值"（EM）中的"亲眼见到偶像"动机具有极高的同质性（17人均提及），这为两类变量的量表题项设计提供了直接的现实锚点，也初步印证了"服务体验顾虑"（SC）与"成本价值阻碍"（CB）在现实感知中存在较高混淆的风险，为预调查阶段的因子分析提供了预判依据。</w:t>
      </w:r>
    </w:p>
    <w:p w14:paraId="70B56458">
      <w:pPr>
        <w:pStyle w:val="4"/>
        <w:spacing w:before="12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（二）深度访谈与焦点小组</w:t>
      </w:r>
    </w:p>
    <w:p w14:paraId="3A8742E8">
      <w:pPr>
        <w:spacing w:before="0" w:after="120"/>
        <w:ind w:firstLine="420"/>
      </w:pPr>
      <w:r>
        <w:rPr>
          <w:sz w:val="22"/>
        </w:rPr>
        <w:t>在现场拦截访谈之外，课题组另行招募6名有过跨城观演经历的Z世代受访者，开展半结构化深度访谈（In-depth Interview, IDI），单次访谈时长约45—60分钟。访谈提纲围绕观演决策全链条展开，重点探索"线上效应"（OE）、"明星效应"（CA）、"城市文旅效应"（DI）三个外因潜变量的语义边界，验证其相互间是否存在概念重叠，同时深挖"仪式参与/自我实现"（RP）的行为表现形式及其与"群体认同"（SI）的区分效度。</w:t>
      </w:r>
    </w:p>
    <w:p w14:paraId="05DD8D61">
      <w:pPr>
        <w:spacing w:before="0" w:after="120"/>
        <w:ind w:firstLine="420"/>
      </w:pPr>
      <w:r>
        <w:rPr>
          <w:sz w:val="22"/>
        </w:rPr>
        <w:t>在此基础上，课题组组织2场焦点小组讨论（Focus Group Discussion, FGD），每组6人，分别由天津本地粉丝与外地来津粉丝构成，重点讨论城市形象感知差异以及跨城观演行程安排中的核心顾虑，为抽样方案中"天津/非天津"分层策略的合理性提供定性依据。</w:t>
      </w:r>
    </w:p>
    <w:p w14:paraId="4D5447AA">
      <w:pPr>
        <w:spacing w:before="0" w:after="120"/>
        <w:ind w:firstLine="420"/>
        <w:rPr>
          <w:rFonts w:hint="eastAsia" w:eastAsiaTheme="minorEastAsia"/>
          <w:lang w:eastAsia="zh-CN"/>
        </w:rPr>
      </w:pPr>
      <w:r>
        <w:rPr>
          <w:sz w:val="22"/>
        </w:rPr>
        <w:t>访谈内容经整理后，对高频词汇进行词云图可视化分析，并结合扎根理论（Grounded Theory）的三级编码（开放编码→轴心编码→选择性编码），从受访者的话语中提炼概念类属，反向验证初始10个潜变量的理论覆盖完整性。</w:t>
      </w:r>
      <w:r>
        <w:rPr>
          <w:rFonts w:hint="eastAsia"/>
          <w:sz w:val="22"/>
          <w:lang w:eastAsia="zh-CN"/>
        </w:rPr>
        <w:t>（</w:t>
      </w:r>
      <w:r>
        <w:rPr>
          <w:rFonts w:hint="eastAsia"/>
          <w:sz w:val="22"/>
          <w:lang w:val="en-US" w:eastAsia="zh-CN"/>
        </w:rPr>
        <w:t>留白，待补充</w:t>
      </w:r>
      <w:r>
        <w:rPr>
          <w:rFonts w:hint="eastAsia"/>
          <w:sz w:val="22"/>
          <w:lang w:eastAsia="zh-CN"/>
        </w:rPr>
        <w:t>）</w:t>
      </w:r>
    </w:p>
    <w:p w14:paraId="2FD14D77">
      <w:pPr>
        <w:pStyle w:val="4"/>
        <w:spacing w:before="12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（三）文本分析</w:t>
      </w:r>
    </w:p>
    <w:p w14:paraId="098CB858">
      <w:pPr>
        <w:spacing w:before="0" w:after="120"/>
        <w:ind w:firstLine="420"/>
        <w:rPr>
          <w:rFonts w:hint="eastAsia" w:eastAsiaTheme="minorEastAsia"/>
          <w:lang w:eastAsia="zh-CN"/>
        </w:rPr>
      </w:pPr>
      <w:r>
        <w:rPr>
          <w:sz w:val="22"/>
        </w:rPr>
        <w:t>本部分由团队成员基于大语言模型（LLM）对社交媒体演唱会相关评论文本进行主题挖掘与情感分析，结果将作为定性阶段的补充证据，与访谈词云分析相互印证。</w:t>
      </w:r>
      <w:r>
        <w:rPr>
          <w:rFonts w:hint="eastAsia"/>
          <w:sz w:val="22"/>
          <w:lang w:eastAsia="zh-CN"/>
        </w:rPr>
        <w:t>（</w:t>
      </w:r>
      <w:r>
        <w:rPr>
          <w:rFonts w:hint="eastAsia"/>
          <w:sz w:val="22"/>
          <w:lang w:val="en-US" w:eastAsia="zh-CN"/>
        </w:rPr>
        <w:t>留白</w:t>
      </w:r>
      <w:r>
        <w:rPr>
          <w:rFonts w:hint="eastAsia"/>
          <w:sz w:val="22"/>
          <w:lang w:eastAsia="zh-CN"/>
        </w:rPr>
        <w:t>）</w:t>
      </w:r>
    </w:p>
    <w:p w14:paraId="7067776C">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五、预调查</w:t>
      </w:r>
    </w:p>
    <w:p w14:paraId="27EB6239">
      <w:pPr>
        <w:spacing w:before="0" w:after="120"/>
        <w:ind w:firstLine="420"/>
      </w:pPr>
      <w:r>
        <w:rPr>
          <w:sz w:val="22"/>
        </w:rPr>
        <w:t>预调查的核心目的在于对初始10个潜变量进行统计层面的质量筛检，以保证进入正式问卷的量表具有充分的信度与建构效度，并在正式大规模调查前修正问卷中的歧义表述和冗余题项。</w:t>
      </w:r>
    </w:p>
    <w:p w14:paraId="30B1EBA1">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（一）初始变量体系</w:t>
      </w:r>
    </w:p>
    <w:p w14:paraId="792A5796">
      <w:pPr>
        <w:spacing w:before="0" w:after="120"/>
        <w:ind w:firstLine="420"/>
      </w:pPr>
      <w:r>
        <w:rPr>
          <w:sz w:val="22"/>
        </w:rPr>
        <w:t>综合文献研究与定性研究结果，本研究初步确立10个潜变量，涵盖外因层（背景情境）、内因层（动机与阻碍）和行为层（意愿）三个维度，具体如表2所示：</w:t>
      </w:r>
    </w:p>
    <w:p w14:paraId="73E34CC1">
      <w:pPr>
        <w:spacing w:before="60" w:after="180"/>
        <w:jc w:val="center"/>
      </w:pPr>
      <w:r>
        <w:rPr>
          <w:i/>
        </w:rPr>
        <w:t>表2  10个初始潜变量一览表</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1384"/>
        <w:gridCol w:w="1384"/>
        <w:gridCol w:w="1384"/>
        <w:gridCol w:w="1384"/>
        <w:gridCol w:w="1384"/>
        <w:gridCol w:w="1384"/>
      </w:tblGrid>
      <w:tr>
        <w:tc>
          <w:tcPr>
            <w:tcW w:type="dxa" w:w="576"/>
            <w:shd w:val="clear" w:color="auto" w:fill="048A81"/>
          </w:tcPr>
          <w:p>
            <w:pPr>
              <w:jc w:val="center"/>
            </w:pPr>
            <w:r>
              <w:rPr>
                <w:b/>
                <w:color w:val="FFFFFF"/>
                <w:sz w:val="20"/>
              </w:rPr>
              <w:t>编号</w:t>
            </w:r>
          </w:p>
        </w:tc>
        <w:tc>
          <w:tcPr>
            <w:tcW w:type="dxa" w:w="792"/>
            <w:shd w:val="clear" w:color="auto" w:fill="048A81"/>
          </w:tcPr>
          <w:p>
            <w:pPr>
              <w:jc w:val="center"/>
            </w:pPr>
            <w:r>
              <w:rPr>
                <w:b/>
                <w:color w:val="FFFFFF"/>
                <w:sz w:val="20"/>
              </w:rPr>
              <w:t>代码</w:t>
            </w:r>
          </w:p>
        </w:tc>
        <w:tc>
          <w:tcPr>
            <w:tcW w:type="dxa" w:w="1944"/>
            <w:shd w:val="clear" w:color="auto" w:fill="048A81"/>
          </w:tcPr>
          <w:p>
            <w:pPr>
              <w:jc w:val="center"/>
            </w:pPr>
            <w:r>
              <w:rPr>
                <w:b/>
                <w:color w:val="FFFFFF"/>
                <w:sz w:val="20"/>
              </w:rPr>
              <w:t>构念中文名称</w:t>
            </w:r>
          </w:p>
        </w:tc>
        <w:tc>
          <w:tcPr>
            <w:tcW w:type="dxa" w:w="1656"/>
            <w:shd w:val="clear" w:color="auto" w:fill="048A81"/>
          </w:tcPr>
          <w:p>
            <w:pPr>
              <w:jc w:val="center"/>
            </w:pPr>
            <w:r>
              <w:rPr>
                <w:b/>
                <w:color w:val="FFFFFF"/>
                <w:sz w:val="20"/>
              </w:rPr>
              <w:t>维度层次</w:t>
            </w:r>
          </w:p>
        </w:tc>
        <w:tc>
          <w:tcPr>
            <w:tcW w:type="dxa" w:w="720"/>
            <w:shd w:val="clear" w:color="auto" w:fill="048A81"/>
          </w:tcPr>
          <w:p>
            <w:pPr>
              <w:jc w:val="center"/>
            </w:pPr>
            <w:r>
              <w:rPr>
                <w:b/>
                <w:color w:val="FFFFFF"/>
                <w:sz w:val="20"/>
              </w:rPr>
              <w:t>初始</w:t>
              <w:br/>
              <w:t>题项数</w:t>
            </w:r>
          </w:p>
        </w:tc>
        <w:tc>
          <w:tcPr>
            <w:tcW w:type="dxa" w:w="3024"/>
            <w:shd w:val="clear" w:color="auto" w:fill="048A81"/>
          </w:tcPr>
          <w:p>
            <w:pPr>
              <w:jc w:val="center"/>
            </w:pPr>
            <w:r>
              <w:rPr>
                <w:b/>
                <w:color w:val="FFFFFF"/>
                <w:sz w:val="20"/>
              </w:rPr>
              <w:t>理论来源/定性方法确认</w:t>
            </w:r>
          </w:p>
        </w:tc>
      </w:tr>
      <w:tr>
        <w:tc>
          <w:tcPr>
            <w:tcW w:type="dxa" w:w="576"/>
          </w:tcPr>
          <w:p>
            <w:pPr>
              <w:jc w:val="center"/>
            </w:pPr>
            <w:r>
              <w:rPr>
                <w:sz w:val="19"/>
              </w:rPr>
              <w:t>1</w:t>
            </w:r>
          </w:p>
        </w:tc>
        <w:tc>
          <w:tcPr>
            <w:tcW w:type="dxa" w:w="792"/>
          </w:tcPr>
          <w:p>
            <w:pPr>
              <w:jc w:val="center"/>
            </w:pPr>
            <w:r>
              <w:rPr>
                <w:sz w:val="19"/>
              </w:rPr>
              <w:t>SMI</w:t>
            </w:r>
          </w:p>
        </w:tc>
        <w:tc>
          <w:tcPr>
            <w:tcW w:type="dxa" w:w="1944"/>
          </w:tcPr>
          <w:p>
            <w:pPr>
              <w:jc w:val="center"/>
            </w:pPr>
            <w:r>
              <w:rPr>
                <w:sz w:val="19"/>
              </w:rPr>
              <w:t>社交媒体信息影响</w:t>
            </w:r>
          </w:p>
        </w:tc>
        <w:tc>
          <w:tcPr>
            <w:tcW w:type="dxa" w:w="1656"/>
          </w:tcPr>
          <w:p>
            <w:pPr>
              <w:jc w:val="center"/>
            </w:pPr>
            <w:r>
              <w:rPr>
                <w:sz w:val="19"/>
              </w:rPr>
              <w:t>外因-背景情境</w:t>
            </w:r>
          </w:p>
        </w:tc>
        <w:tc>
          <w:tcPr>
            <w:tcW w:type="dxa" w:w="720"/>
          </w:tcPr>
          <w:p>
            <w:pPr>
              <w:jc w:val="center"/>
            </w:pPr>
            <w:r>
              <w:rPr>
                <w:sz w:val="19"/>
              </w:rPr>
              <w:t>3</w:t>
            </w:r>
          </w:p>
        </w:tc>
        <w:tc>
          <w:tcPr>
            <w:tcW w:type="dxa" w:w="3024"/>
          </w:tcPr>
          <w:p>
            <w:pPr>
              <w:jc w:val="center"/>
            </w:pPr>
            <w:r>
              <w:rPr>
                <w:sz w:val="19"/>
              </w:rPr>
              <w:t>社会影响理论（SIT）；访谈高频词"刷到推送"</w:t>
            </w:r>
          </w:p>
        </w:tc>
      </w:tr>
      <w:tr>
        <w:tc>
          <w:tcPr>
            <w:tcW w:type="dxa" w:w="576"/>
          </w:tcPr>
          <w:p>
            <w:pPr>
              <w:jc w:val="center"/>
            </w:pPr>
            <w:r>
              <w:rPr>
                <w:sz w:val="19"/>
              </w:rPr>
              <w:t>2</w:t>
            </w:r>
          </w:p>
        </w:tc>
        <w:tc>
          <w:tcPr>
            <w:tcW w:type="dxa" w:w="792"/>
          </w:tcPr>
          <w:p>
            <w:pPr>
              <w:jc w:val="center"/>
            </w:pPr>
            <w:r>
              <w:rPr>
                <w:sz w:val="19"/>
              </w:rPr>
              <w:t>PSR</w:t>
            </w:r>
          </w:p>
        </w:tc>
        <w:tc>
          <w:tcPr>
            <w:tcW w:type="dxa" w:w="1944"/>
          </w:tcPr>
          <w:p>
            <w:pPr>
              <w:jc w:val="center"/>
            </w:pPr>
            <w:r>
              <w:rPr>
                <w:sz w:val="19"/>
              </w:rPr>
              <w:t>偶像准社会关系</w:t>
            </w:r>
          </w:p>
        </w:tc>
        <w:tc>
          <w:tcPr>
            <w:tcW w:type="dxa" w:w="1656"/>
          </w:tcPr>
          <w:p>
            <w:pPr>
              <w:jc w:val="center"/>
            </w:pPr>
            <w:r>
              <w:rPr>
                <w:sz w:val="19"/>
              </w:rPr>
              <w:t>外因-背景情境</w:t>
            </w:r>
          </w:p>
        </w:tc>
        <w:tc>
          <w:tcPr>
            <w:tcW w:type="dxa" w:w="720"/>
          </w:tcPr>
          <w:p>
            <w:pPr>
              <w:jc w:val="center"/>
            </w:pPr>
            <w:r>
              <w:rPr>
                <w:sz w:val="19"/>
              </w:rPr>
              <w:t>3</w:t>
            </w:r>
          </w:p>
        </w:tc>
        <w:tc>
          <w:tcPr>
            <w:tcW w:type="dxa" w:w="3024"/>
          </w:tcPr>
          <w:p>
            <w:pPr>
              <w:jc w:val="center"/>
            </w:pPr>
            <w:r>
              <w:rPr>
                <w:sz w:val="19"/>
              </w:rPr>
              <w:t>准社会互动理论（PSI）；IDI核心主题之一</w:t>
            </w:r>
          </w:p>
        </w:tc>
      </w:tr>
      <w:tr>
        <w:tc>
          <w:tcPr>
            <w:tcW w:type="dxa" w:w="576"/>
          </w:tcPr>
          <w:p>
            <w:pPr>
              <w:jc w:val="center"/>
            </w:pPr>
            <w:r>
              <w:rPr>
                <w:sz w:val="19"/>
              </w:rPr>
              <w:t>3</w:t>
            </w:r>
          </w:p>
        </w:tc>
        <w:tc>
          <w:tcPr>
            <w:tcW w:type="dxa" w:w="792"/>
          </w:tcPr>
          <w:p>
            <w:pPr>
              <w:jc w:val="center"/>
            </w:pPr>
            <w:r>
              <w:rPr>
                <w:sz w:val="19"/>
              </w:rPr>
              <w:t>CTA</w:t>
            </w:r>
          </w:p>
        </w:tc>
        <w:tc>
          <w:tcPr>
            <w:tcW w:type="dxa" w:w="1944"/>
          </w:tcPr>
          <w:p>
            <w:pPr>
              <w:jc w:val="center"/>
            </w:pPr>
            <w:r>
              <w:rPr>
                <w:sz w:val="19"/>
              </w:rPr>
              <w:t>城市旅游吸引力</w:t>
            </w:r>
          </w:p>
        </w:tc>
        <w:tc>
          <w:tcPr>
            <w:tcW w:type="dxa" w:w="1656"/>
          </w:tcPr>
          <w:p>
            <w:pPr>
              <w:jc w:val="center"/>
            </w:pPr>
            <w:r>
              <w:rPr>
                <w:sz w:val="19"/>
              </w:rPr>
              <w:t>外因-背景情境</w:t>
            </w:r>
          </w:p>
        </w:tc>
        <w:tc>
          <w:tcPr>
            <w:tcW w:type="dxa" w:w="720"/>
          </w:tcPr>
          <w:p>
            <w:pPr>
              <w:jc w:val="center"/>
            </w:pPr>
            <w:r>
              <w:rPr>
                <w:sz w:val="19"/>
              </w:rPr>
              <w:t>3</w:t>
            </w:r>
          </w:p>
        </w:tc>
        <w:tc>
          <w:tcPr>
            <w:tcW w:type="dxa" w:w="3024"/>
          </w:tcPr>
          <w:p>
            <w:pPr>
              <w:jc w:val="center"/>
            </w:pPr>
            <w:r>
              <w:rPr>
                <w:sz w:val="19"/>
              </w:rPr>
              <w:t>城市旅游动机文献；拦访中"天津来玩顺便看"</w:t>
            </w:r>
          </w:p>
        </w:tc>
      </w:tr>
      <w:tr>
        <w:tc>
          <w:tcPr>
            <w:tcW w:type="dxa" w:w="576"/>
          </w:tcPr>
          <w:p>
            <w:pPr>
              <w:jc w:val="center"/>
            </w:pPr>
            <w:r>
              <w:rPr>
                <w:sz w:val="19"/>
              </w:rPr>
              <w:t>4</w:t>
            </w:r>
          </w:p>
        </w:tc>
        <w:tc>
          <w:tcPr>
            <w:tcW w:type="dxa" w:w="792"/>
          </w:tcPr>
          <w:p>
            <w:pPr>
              <w:jc w:val="center"/>
            </w:pPr>
            <w:r>
              <w:rPr>
                <w:sz w:val="19"/>
              </w:rPr>
              <w:t>EEM</w:t>
            </w:r>
          </w:p>
        </w:tc>
        <w:tc>
          <w:tcPr>
            <w:tcW w:type="dxa" w:w="1944"/>
          </w:tcPr>
          <w:p>
            <w:pPr>
              <w:jc w:val="center"/>
            </w:pPr>
            <w:r>
              <w:rPr>
                <w:sz w:val="19"/>
              </w:rPr>
              <w:t>情感体验动机</w:t>
            </w:r>
          </w:p>
        </w:tc>
        <w:tc>
          <w:tcPr>
            <w:tcW w:type="dxa" w:w="1656"/>
          </w:tcPr>
          <w:p>
            <w:pPr>
              <w:jc w:val="center"/>
            </w:pPr>
            <w:r>
              <w:rPr>
                <w:sz w:val="19"/>
              </w:rPr>
              <w:t>内因-动机层</w:t>
            </w:r>
          </w:p>
        </w:tc>
        <w:tc>
          <w:tcPr>
            <w:tcW w:type="dxa" w:w="720"/>
          </w:tcPr>
          <w:p>
            <w:pPr>
              <w:jc w:val="center"/>
            </w:pPr>
            <w:r>
              <w:rPr>
                <w:sz w:val="19"/>
              </w:rPr>
              <w:t>3</w:t>
            </w:r>
          </w:p>
        </w:tc>
        <w:tc>
          <w:tcPr>
            <w:tcW w:type="dxa" w:w="3024"/>
          </w:tcPr>
          <w:p>
            <w:pPr>
              <w:jc w:val="center"/>
            </w:pPr>
            <w:r>
              <w:rPr>
                <w:sz w:val="19"/>
              </w:rPr>
              <w:t>体验经济理论（Pine &amp; Gilmore）；FGD核心主题</w:t>
            </w:r>
          </w:p>
        </w:tc>
      </w:tr>
      <w:tr>
        <w:tc>
          <w:tcPr>
            <w:tcW w:type="dxa" w:w="576"/>
          </w:tcPr>
          <w:p>
            <w:pPr>
              <w:jc w:val="center"/>
            </w:pPr>
            <w:r>
              <w:rPr>
                <w:sz w:val="19"/>
              </w:rPr>
              <w:t>5</w:t>
            </w:r>
          </w:p>
        </w:tc>
        <w:tc>
          <w:tcPr>
            <w:tcW w:type="dxa" w:w="792"/>
          </w:tcPr>
          <w:p>
            <w:pPr>
              <w:jc w:val="center"/>
            </w:pPr>
            <w:r>
              <w:rPr>
                <w:sz w:val="19"/>
              </w:rPr>
              <w:t>GBI</w:t>
            </w:r>
          </w:p>
        </w:tc>
        <w:tc>
          <w:tcPr>
            <w:tcW w:type="dxa" w:w="1944"/>
          </w:tcPr>
          <w:p>
            <w:pPr>
              <w:jc w:val="center"/>
            </w:pPr>
            <w:r>
              <w:rPr>
                <w:sz w:val="19"/>
              </w:rPr>
              <w:t>群体归属感</w:t>
            </w:r>
          </w:p>
        </w:tc>
        <w:tc>
          <w:tcPr>
            <w:tcW w:type="dxa" w:w="1656"/>
          </w:tcPr>
          <w:p>
            <w:pPr>
              <w:jc w:val="center"/>
            </w:pPr>
            <w:r>
              <w:rPr>
                <w:sz w:val="19"/>
              </w:rPr>
              <w:t>内因-动机层</w:t>
            </w:r>
          </w:p>
        </w:tc>
        <w:tc>
          <w:tcPr>
            <w:tcW w:type="dxa" w:w="720"/>
          </w:tcPr>
          <w:p>
            <w:pPr>
              <w:jc w:val="center"/>
            </w:pPr>
            <w:r>
              <w:rPr>
                <w:sz w:val="19"/>
              </w:rPr>
              <w:t>3</w:t>
            </w:r>
          </w:p>
        </w:tc>
        <w:tc>
          <w:tcPr>
            <w:tcW w:type="dxa" w:w="3024"/>
          </w:tcPr>
          <w:p>
            <w:pPr>
              <w:jc w:val="center"/>
            </w:pPr>
            <w:r>
              <w:rPr>
                <w:sz w:val="19"/>
              </w:rPr>
              <w:t>社会认同理论；FGD关键词"和朋友一起追星"</w:t>
            </w:r>
          </w:p>
        </w:tc>
      </w:tr>
      <w:tr>
        <w:tc>
          <w:tcPr>
            <w:tcW w:type="dxa" w:w="576"/>
          </w:tcPr>
          <w:p>
            <w:pPr>
              <w:jc w:val="center"/>
            </w:pPr>
            <w:r>
              <w:rPr>
                <w:sz w:val="19"/>
              </w:rPr>
              <w:t>6</w:t>
            </w:r>
          </w:p>
        </w:tc>
        <w:tc>
          <w:tcPr>
            <w:tcW w:type="dxa" w:w="792"/>
          </w:tcPr>
          <w:p>
            <w:pPr>
              <w:jc w:val="center"/>
            </w:pPr>
            <w:r>
              <w:rPr>
                <w:sz w:val="19"/>
              </w:rPr>
              <w:t>RSA</w:t>
            </w:r>
          </w:p>
        </w:tc>
        <w:tc>
          <w:tcPr>
            <w:tcW w:type="dxa" w:w="1944"/>
          </w:tcPr>
          <w:p>
            <w:pPr>
              <w:jc w:val="center"/>
            </w:pPr>
            <w:r>
              <w:rPr>
                <w:sz w:val="19"/>
              </w:rPr>
              <w:t>仪式感与自我实现</w:t>
            </w:r>
          </w:p>
        </w:tc>
        <w:tc>
          <w:tcPr>
            <w:tcW w:type="dxa" w:w="1656"/>
          </w:tcPr>
          <w:p>
            <w:pPr>
              <w:jc w:val="center"/>
            </w:pPr>
            <w:r>
              <w:rPr>
                <w:sz w:val="19"/>
              </w:rPr>
              <w:t>内因-动机层</w:t>
            </w:r>
          </w:p>
        </w:tc>
        <w:tc>
          <w:tcPr>
            <w:tcW w:type="dxa" w:w="720"/>
          </w:tcPr>
          <w:p>
            <w:pPr>
              <w:jc w:val="center"/>
            </w:pPr>
            <w:r>
              <w:rPr>
                <w:sz w:val="19"/>
              </w:rPr>
              <w:t>3</w:t>
            </w:r>
          </w:p>
        </w:tc>
        <w:tc>
          <w:tcPr>
            <w:tcW w:type="dxa" w:w="3024"/>
          </w:tcPr>
          <w:p>
            <w:pPr>
              <w:jc w:val="center"/>
            </w:pPr>
            <w:r>
              <w:rPr>
                <w:sz w:val="19"/>
              </w:rPr>
              <w:t>仪式理论（Durkheim）+ Maslow需求层次</w:t>
            </w:r>
          </w:p>
        </w:tc>
      </w:tr>
      <w:tr>
        <w:tc>
          <w:tcPr>
            <w:tcW w:type="dxa" w:w="576"/>
          </w:tcPr>
          <w:p>
            <w:pPr>
              <w:jc w:val="center"/>
            </w:pPr>
            <w:r>
              <w:rPr>
                <w:sz w:val="19"/>
              </w:rPr>
              <w:t>7</w:t>
            </w:r>
          </w:p>
        </w:tc>
        <w:tc>
          <w:tcPr>
            <w:tcW w:type="dxa" w:w="792"/>
          </w:tcPr>
          <w:p>
            <w:pPr>
              <w:jc w:val="center"/>
            </w:pPr>
            <w:r>
              <w:rPr>
                <w:sz w:val="19"/>
              </w:rPr>
              <w:t>PCB</w:t>
            </w:r>
          </w:p>
        </w:tc>
        <w:tc>
          <w:tcPr>
            <w:tcW w:type="dxa" w:w="1944"/>
          </w:tcPr>
          <w:p>
            <w:pPr>
              <w:jc w:val="center"/>
            </w:pPr>
            <w:r>
              <w:rPr>
                <w:sz w:val="19"/>
              </w:rPr>
              <w:t>感知成本障碍</w:t>
            </w:r>
          </w:p>
        </w:tc>
        <w:tc>
          <w:tcPr>
            <w:tcW w:type="dxa" w:w="1656"/>
          </w:tcPr>
          <w:p>
            <w:pPr>
              <w:jc w:val="center"/>
            </w:pPr>
            <w:r>
              <w:rPr>
                <w:sz w:val="19"/>
              </w:rPr>
              <w:t>内因-阻碍层</w:t>
            </w:r>
          </w:p>
        </w:tc>
        <w:tc>
          <w:tcPr>
            <w:tcW w:type="dxa" w:w="720"/>
          </w:tcPr>
          <w:p>
            <w:pPr>
              <w:jc w:val="center"/>
            </w:pPr>
            <w:r>
              <w:rPr>
                <w:sz w:val="19"/>
              </w:rPr>
              <w:t>3</w:t>
            </w:r>
          </w:p>
        </w:tc>
        <w:tc>
          <w:tcPr>
            <w:tcW w:type="dxa" w:w="3024"/>
          </w:tcPr>
          <w:p>
            <w:pPr>
              <w:jc w:val="center"/>
            </w:pPr>
            <w:r>
              <w:rPr>
                <w:sz w:val="19"/>
              </w:rPr>
              <w:t>价值-障碍框架；拦访最高频痛点</w:t>
            </w:r>
          </w:p>
        </w:tc>
      </w:tr>
      <w:tr>
        <w:tc>
          <w:tcPr>
            <w:tcW w:type="dxa" w:w="576"/>
          </w:tcPr>
          <w:p>
            <w:pPr>
              <w:jc w:val="center"/>
            </w:pPr>
            <w:r>
              <w:rPr>
                <w:sz w:val="19"/>
              </w:rPr>
              <w:t>8</w:t>
            </w:r>
          </w:p>
        </w:tc>
        <w:tc>
          <w:tcPr>
            <w:tcW w:type="dxa" w:w="792"/>
          </w:tcPr>
          <w:p>
            <w:pPr>
              <w:jc w:val="center"/>
            </w:pPr>
            <w:r>
              <w:rPr>
                <w:sz w:val="19"/>
              </w:rPr>
              <w:t>SC</w:t>
            </w:r>
          </w:p>
        </w:tc>
        <w:tc>
          <w:tcPr>
            <w:tcW w:type="dxa" w:w="1944"/>
          </w:tcPr>
          <w:p>
            <w:pPr>
              <w:jc w:val="center"/>
            </w:pPr>
            <w:r>
              <w:rPr>
                <w:sz w:val="19"/>
              </w:rPr>
              <w:t>服务体验顾虑</w:t>
            </w:r>
          </w:p>
        </w:tc>
        <w:tc>
          <w:tcPr>
            <w:tcW w:type="dxa" w:w="1656"/>
          </w:tcPr>
          <w:p>
            <w:pPr>
              <w:jc w:val="center"/>
            </w:pPr>
            <w:r>
              <w:rPr>
                <w:sz w:val="19"/>
              </w:rPr>
              <w:t>内因-阻碍层</w:t>
            </w:r>
          </w:p>
        </w:tc>
        <w:tc>
          <w:tcPr>
            <w:tcW w:type="dxa" w:w="720"/>
          </w:tcPr>
          <w:p>
            <w:pPr>
              <w:jc w:val="center"/>
            </w:pPr>
            <w:r>
              <w:rPr>
                <w:sz w:val="19"/>
              </w:rPr>
              <w:t>3</w:t>
            </w:r>
          </w:p>
        </w:tc>
        <w:tc>
          <w:tcPr>
            <w:tcW w:type="dxa" w:w="3024"/>
          </w:tcPr>
          <w:p>
            <w:pPr>
              <w:jc w:val="center"/>
            </w:pPr>
            <w:r>
              <w:rPr>
                <w:sz w:val="19"/>
              </w:rPr>
              <w:t>服务质量理论；拦访提及"排队太久/安保混乱"</w:t>
            </w:r>
          </w:p>
        </w:tc>
      </w:tr>
      <w:tr>
        <w:tc>
          <w:tcPr>
            <w:tcW w:type="dxa" w:w="576"/>
          </w:tcPr>
          <w:p>
            <w:pPr>
              <w:jc w:val="center"/>
            </w:pPr>
            <w:r>
              <w:rPr>
                <w:sz w:val="19"/>
              </w:rPr>
              <w:t>9</w:t>
            </w:r>
          </w:p>
        </w:tc>
        <w:tc>
          <w:tcPr>
            <w:tcW w:type="dxa" w:w="792"/>
          </w:tcPr>
          <w:p>
            <w:pPr>
              <w:jc w:val="center"/>
            </w:pPr>
            <w:r>
              <w:rPr>
                <w:sz w:val="19"/>
              </w:rPr>
              <w:t>PVI</w:t>
            </w:r>
          </w:p>
        </w:tc>
        <w:tc>
          <w:tcPr>
            <w:tcW w:type="dxa" w:w="1944"/>
          </w:tcPr>
          <w:p>
            <w:pPr>
              <w:jc w:val="center"/>
            </w:pPr>
            <w:r>
              <w:rPr>
                <w:sz w:val="19"/>
              </w:rPr>
              <w:t>观演意愿</w:t>
            </w:r>
          </w:p>
        </w:tc>
        <w:tc>
          <w:tcPr>
            <w:tcW w:type="dxa" w:w="1656"/>
          </w:tcPr>
          <w:p>
            <w:pPr>
              <w:jc w:val="center"/>
            </w:pPr>
            <w:r>
              <w:rPr>
                <w:sz w:val="19"/>
              </w:rPr>
              <w:t>因变量-行为意向</w:t>
            </w:r>
          </w:p>
        </w:tc>
        <w:tc>
          <w:tcPr>
            <w:tcW w:type="dxa" w:w="720"/>
          </w:tcPr>
          <w:p>
            <w:pPr>
              <w:jc w:val="center"/>
            </w:pPr>
            <w:r>
              <w:rPr>
                <w:sz w:val="19"/>
              </w:rPr>
              <w:t>3</w:t>
            </w:r>
          </w:p>
        </w:tc>
        <w:tc>
          <w:tcPr>
            <w:tcW w:type="dxa" w:w="3024"/>
          </w:tcPr>
          <w:p>
            <w:pPr>
              <w:jc w:val="center"/>
            </w:pPr>
            <w:r>
              <w:rPr>
                <w:sz w:val="19"/>
              </w:rPr>
              <w:t>计划行为理论（TPB）</w:t>
            </w:r>
          </w:p>
        </w:tc>
      </w:tr>
      <w:tr>
        <w:tc>
          <w:tcPr>
            <w:tcW w:type="dxa" w:w="576"/>
          </w:tcPr>
          <w:p>
            <w:pPr>
              <w:jc w:val="center"/>
            </w:pPr>
            <w:r>
              <w:rPr>
                <w:sz w:val="19"/>
              </w:rPr>
              <w:t>10</w:t>
            </w:r>
          </w:p>
        </w:tc>
        <w:tc>
          <w:tcPr>
            <w:tcW w:type="dxa" w:w="792"/>
          </w:tcPr>
          <w:p>
            <w:pPr>
              <w:jc w:val="center"/>
            </w:pPr>
            <w:r>
              <w:rPr>
                <w:sz w:val="19"/>
              </w:rPr>
              <w:t>TWI</w:t>
            </w:r>
          </w:p>
        </w:tc>
        <w:tc>
          <w:tcPr>
            <w:tcW w:type="dxa" w:w="1944"/>
          </w:tcPr>
          <w:p>
            <w:pPr>
              <w:jc w:val="center"/>
            </w:pPr>
            <w:r>
              <w:rPr>
                <w:sz w:val="19"/>
              </w:rPr>
              <w:t>旅游/消费延伸意愿</w:t>
            </w:r>
          </w:p>
        </w:tc>
        <w:tc>
          <w:tcPr>
            <w:tcW w:type="dxa" w:w="1656"/>
          </w:tcPr>
          <w:p>
            <w:pPr>
              <w:jc w:val="center"/>
            </w:pPr>
            <w:r>
              <w:rPr>
                <w:sz w:val="19"/>
              </w:rPr>
              <w:t>因变量-行为意向</w:t>
            </w:r>
          </w:p>
        </w:tc>
        <w:tc>
          <w:tcPr>
            <w:tcW w:type="dxa" w:w="720"/>
          </w:tcPr>
          <w:p>
            <w:pPr>
              <w:jc w:val="center"/>
            </w:pPr>
            <w:r>
              <w:rPr>
                <w:sz w:val="19"/>
              </w:rPr>
              <w:t>3</w:t>
            </w:r>
          </w:p>
        </w:tc>
        <w:tc>
          <w:tcPr>
            <w:tcW w:type="dxa" w:w="3024"/>
          </w:tcPr>
          <w:p>
            <w:pPr>
              <w:jc w:val="center"/>
            </w:pPr>
            <w:r>
              <w:rPr>
                <w:sz w:val="19"/>
              </w:rPr>
              <w:t>旅游意向文献；"演唱会带动城市消费"议题</w:t>
            </w:r>
          </w:p>
        </w:tc>
      </w:tr>
    </w:tbl>
    <w:p w14:paraId="75593A03">
      <w:pPr>
        <w:spacing w:before="0" w:after="120"/>
        <w:ind w:firstLine="420"/>
      </w:pPr>
      <w:r>
        <w:rPr>
          <w:sz w:val="22"/>
        </w:rPr>
        <w:t>其中，SC（服务体验顾虑）在现场拦截访谈中已发现其与CB（成本价值阻碍）存在概念混淆风险，定性阶段将其作为"候选剔除"变量，最终去留由预调查统计结果决定。</w:t>
      </w:r>
    </w:p>
    <w:p w14:paraId="1B68A294">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（二）预调查问卷发放</w:t>
      </w:r>
    </w:p>
    <w:p w14:paraId="1423F44B">
      <w:pPr>
        <w:spacing w:before="0" w:after="120"/>
        <w:ind w:firstLine="420"/>
      </w:pPr>
      <w:r>
        <w:rPr>
          <w:sz w:val="22"/>
        </w:rPr>
        <w:t>预调查采用线上便利抽样方式，通过微博演唱会相关话题、小红书观演分享帖、粉丝QQ群等渠道定向投放初版问卷，目标回收有效问卷100份。样本量参照"题项数×4~5倍"的经验法则，本次初版量表共27道李克特量表题，故目标样本量确定为100~135份，取整后以100份作为最低标准。</w:t>
      </w:r>
    </w:p>
    <w:p w14:paraId="7F3F3801">
      <w:pPr>
        <w:spacing w:before="0" w:after="120"/>
        <w:ind w:firstLine="420"/>
      </w:pPr>
      <w:r>
        <w:rPr>
          <w:sz w:val="22"/>
        </w:rPr>
        <w:t>有效问卷的纳入标准为：（1）作答总时长不低于2分钟；（2）全量表不存在超过7道连续相同选项的作答模式；（3）反向题（若有）与对应正向题得分之差绝对值大于0，以排除无差别作答。</w:t>
      </w:r>
    </w:p>
    <w:p w14:paraId="48E2298E">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（三）变量与题项筛选标准</w:t>
      </w:r>
    </w:p>
    <w:p w14:paraId="225156B9">
      <w:pPr>
        <w:spacing w:before="0" w:after="120"/>
        <w:ind w:firstLine="420"/>
      </w:pPr>
      <w:r>
        <w:rPr>
          <w:sz w:val="22"/>
        </w:rPr>
        <w:t>预调查数据的统计分析分三轮进行，由细到粗、由题项到变量逐步筛除不合格的测量内容。</w:t>
      </w:r>
    </w:p>
    <w:p w14:paraId="3EEDEF9B">
      <w:pPr>
        <w:spacing w:before="0" w:after="120"/>
        <w:ind w:firstLine="420"/>
      </w:pPr>
      <w:r>
        <w:rPr>
          <w:b/>
          <w:sz w:val="22"/>
        </w:rPr>
        <w:t>第一轮：题项层面筛选（CITC法）。</w:t>
      </w:r>
      <w:r>
        <w:rPr>
          <w:sz w:val="22"/>
        </w:rPr>
        <w:t>对每个潜变量内部，计算各题项与该量表总分的修正后相关系数（Corrected Item-Total Correlation，CITC）。对于满足下式的题项予以删除：</w:t>
      </w:r>
    </w:p>
    <w:p w14:paraId="495A5B95">
      <w:pPr>
        <w:spacing w:before="0" w:after="120"/>
        <w:ind w:firstLine="420"/>
      </w:pPr>
      <w:r>
        <w:rPr>
          <w:sz w:val="22"/>
        </w:rPr>
        <w:t>CITC ij  &lt;  0.40  →  删除题项 j</w:t>
      </w:r>
    </w:p>
    <w:p w14:paraId="5F26EBCA">
      <w:pPr>
        <w:spacing w:before="0" w:after="120"/>
        <w:ind w:firstLine="420"/>
      </w:pPr>
      <w:r>
        <w:rPr>
          <w:b/>
          <w:sz w:val="22"/>
        </w:rPr>
        <w:t>第二轮：量表信度检验（Cronbach’s α法）。</w:t>
      </w:r>
      <w:r>
        <w:rPr>
          <w:sz w:val="22"/>
        </w:rPr>
        <w:t>计算各量表的Cronbach’s α系数，评估内部一致性信度：</w:t>
      </w:r>
    </w:p>
    <w:p w14:paraId="78562275">
      <w:pPr>
        <w:ind w:firstLine="420"/>
      </w:pPr>
      <w:r>
        <w:rPr>
          <w:sz w:val="22"/>
        </w:rPr>
        <w:t>α = N / (N−1) × [1 − (ΣSᵢ²) / S²]</w:t>
      </w:r>
    </w:p>
    <w:p w14:paraId="78E182BA">
      <w:pPr>
        <w:spacing w:before="60" w:after="180"/>
        <w:jc w:val="center"/>
      </w:pPr>
      <w:r>
        <w:rPr>
          <w:i/>
        </w:rPr>
        <w:t>表3  Cronbach’s α信度判断标准</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2769"/>
        <w:gridCol w:w="2769"/>
        <w:gridCol w:w="2769"/>
      </w:tblGrid>
      <w:tr>
        <w:tc>
          <w:tcPr>
            <w:tcW w:type="dxa" w:w="2160"/>
            <w:shd w:val="clear" w:color="auto" w:fill="6B4E71"/>
          </w:tcPr>
          <w:p>
            <w:pPr>
              <w:jc w:val="center"/>
            </w:pPr>
            <w:r>
              <w:rPr>
                <w:b/>
                <w:color w:val="FFFFFF"/>
                <w:sz w:val="20"/>
              </w:rPr>
              <w:t>Cronbach's α 范围</w:t>
            </w:r>
          </w:p>
        </w:tc>
        <w:tc>
          <w:tcPr>
            <w:tcW w:type="dxa" w:w="2160"/>
            <w:shd w:val="clear" w:color="auto" w:fill="6B4E71"/>
          </w:tcPr>
          <w:p>
            <w:pPr>
              <w:jc w:val="center"/>
            </w:pPr>
            <w:r>
              <w:rPr>
                <w:b/>
                <w:color w:val="FFFFFF"/>
                <w:sz w:val="20"/>
              </w:rPr>
              <w:t>信度水平</w:t>
            </w:r>
          </w:p>
        </w:tc>
        <w:tc>
          <w:tcPr>
            <w:tcW w:type="dxa" w:w="4464"/>
            <w:shd w:val="clear" w:color="auto" w:fill="6B4E71"/>
          </w:tcPr>
          <w:p>
            <w:pPr>
              <w:jc w:val="center"/>
            </w:pPr>
            <w:r>
              <w:rPr>
                <w:b/>
                <w:color w:val="FFFFFF"/>
                <w:sz w:val="20"/>
              </w:rPr>
              <w:t>预调查处理方式</w:t>
            </w:r>
          </w:p>
        </w:tc>
      </w:tr>
      <w:tr>
        <w:tc>
          <w:tcPr>
            <w:tcW w:type="dxa" w:w="2160"/>
          </w:tcPr>
          <w:p>
            <w:pPr>
              <w:jc w:val="center"/>
            </w:pPr>
            <w:r>
              <w:rPr>
                <w:sz w:val="19"/>
              </w:rPr>
              <w:t>α ≥ 0.90</w:t>
            </w:r>
          </w:p>
        </w:tc>
        <w:tc>
          <w:tcPr>
            <w:tcW w:type="dxa" w:w="2160"/>
          </w:tcPr>
          <w:p>
            <w:pPr>
              <w:jc w:val="center"/>
            </w:pPr>
            <w:r>
              <w:rPr>
                <w:sz w:val="19"/>
              </w:rPr>
              <w:t>优秀（Excellent）</w:t>
            </w:r>
          </w:p>
        </w:tc>
        <w:tc>
          <w:tcPr>
            <w:tcW w:type="dxa" w:w="4464"/>
          </w:tcPr>
          <w:p>
            <w:pPr>
              <w:jc w:val="center"/>
            </w:pPr>
            <w:r>
              <w:rPr>
                <w:sz w:val="19"/>
              </w:rPr>
              <w:t>保留全部题项，量表质量高</w:t>
            </w:r>
          </w:p>
        </w:tc>
      </w:tr>
      <w:tr>
        <w:tc>
          <w:tcPr>
            <w:tcW w:type="dxa" w:w="2160"/>
          </w:tcPr>
          <w:p>
            <w:pPr>
              <w:jc w:val="center"/>
            </w:pPr>
            <w:r>
              <w:rPr>
                <w:sz w:val="19"/>
              </w:rPr>
              <w:t>0.80 ≤ α &lt; 0.90</w:t>
            </w:r>
          </w:p>
        </w:tc>
        <w:tc>
          <w:tcPr>
            <w:tcW w:type="dxa" w:w="2160"/>
          </w:tcPr>
          <w:p>
            <w:pPr>
              <w:jc w:val="center"/>
            </w:pPr>
            <w:r>
              <w:rPr>
                <w:sz w:val="19"/>
              </w:rPr>
              <w:t>良好（Good）</w:t>
            </w:r>
          </w:p>
        </w:tc>
        <w:tc>
          <w:tcPr>
            <w:tcW w:type="dxa" w:w="4464"/>
          </w:tcPr>
          <w:p>
            <w:pPr>
              <w:jc w:val="center"/>
            </w:pPr>
            <w:r>
              <w:rPr>
                <w:sz w:val="19"/>
              </w:rPr>
              <w:t>保留，建议微调题项措辞</w:t>
            </w:r>
          </w:p>
        </w:tc>
      </w:tr>
      <w:tr>
        <w:tc>
          <w:tcPr>
            <w:tcW w:type="dxa" w:w="2160"/>
          </w:tcPr>
          <w:p>
            <w:pPr>
              <w:jc w:val="center"/>
            </w:pPr>
            <w:r>
              <w:rPr>
                <w:sz w:val="19"/>
              </w:rPr>
              <w:t>0.70 ≤ α &lt; 0.80</w:t>
            </w:r>
          </w:p>
        </w:tc>
        <w:tc>
          <w:tcPr>
            <w:tcW w:type="dxa" w:w="2160"/>
          </w:tcPr>
          <w:p>
            <w:pPr>
              <w:jc w:val="center"/>
            </w:pPr>
            <w:r>
              <w:rPr>
                <w:sz w:val="19"/>
              </w:rPr>
              <w:t>可接受（Acceptable）</w:t>
            </w:r>
          </w:p>
        </w:tc>
        <w:tc>
          <w:tcPr>
            <w:tcW w:type="dxa" w:w="4464"/>
          </w:tcPr>
          <w:p>
            <w:pPr>
              <w:jc w:val="center"/>
            </w:pPr>
            <w:r>
              <w:rPr>
                <w:sz w:val="19"/>
              </w:rPr>
              <w:t>保留，结合CITC优化</w:t>
            </w:r>
          </w:p>
        </w:tc>
      </w:tr>
      <w:tr>
        <w:tc>
          <w:tcPr>
            <w:tcW w:type="dxa" w:w="2160"/>
          </w:tcPr>
          <w:p>
            <w:pPr>
              <w:jc w:val="center"/>
            </w:pPr>
            <w:r>
              <w:rPr>
                <w:sz w:val="19"/>
              </w:rPr>
              <w:t>0.60 ≤ α &lt; 0.70</w:t>
            </w:r>
          </w:p>
        </w:tc>
        <w:tc>
          <w:tcPr>
            <w:tcW w:type="dxa" w:w="2160"/>
          </w:tcPr>
          <w:p>
            <w:pPr>
              <w:jc w:val="center"/>
            </w:pPr>
            <w:r>
              <w:rPr>
                <w:sz w:val="19"/>
              </w:rPr>
              <w:t>存疑（Questionable）</w:t>
            </w:r>
          </w:p>
        </w:tc>
        <w:tc>
          <w:tcPr>
            <w:tcW w:type="dxa" w:w="4464"/>
          </w:tcPr>
          <w:p>
            <w:pPr>
              <w:jc w:val="center"/>
            </w:pPr>
            <w:r>
              <w:rPr>
                <w:sz w:val="19"/>
              </w:rPr>
              <w:t>删除CITC最低题项后重检</w:t>
            </w:r>
          </w:p>
        </w:tc>
      </w:tr>
      <w:tr>
        <w:tc>
          <w:tcPr>
            <w:tcW w:type="dxa" w:w="2160"/>
          </w:tcPr>
          <w:p>
            <w:pPr>
              <w:jc w:val="center"/>
            </w:pPr>
            <w:r>
              <w:rPr>
                <w:sz w:val="19"/>
              </w:rPr>
              <w:t>α &lt; 0.60</w:t>
            </w:r>
          </w:p>
        </w:tc>
        <w:tc>
          <w:tcPr>
            <w:tcW w:type="dxa" w:w="2160"/>
          </w:tcPr>
          <w:p>
            <w:pPr>
              <w:jc w:val="center"/>
            </w:pPr>
            <w:r>
              <w:rPr>
                <w:sz w:val="19"/>
              </w:rPr>
              <w:t>不可接受（Poor）</w:t>
            </w:r>
          </w:p>
        </w:tc>
        <w:tc>
          <w:tcPr>
            <w:tcW w:type="dxa" w:w="4464"/>
          </w:tcPr>
          <w:p>
            <w:pPr>
              <w:jc w:val="center"/>
            </w:pPr>
            <w:r>
              <w:rPr>
                <w:sz w:val="19"/>
              </w:rPr>
              <w:t>该构念整体剔除或重设题项</w:t>
            </w:r>
          </w:p>
        </w:tc>
      </w:tr>
    </w:tbl>
    <w:p w14:paraId="77426C29">
      <w:pPr>
        <w:spacing w:before="0" w:after="120"/>
        <w:ind w:firstLine="420"/>
      </w:pPr>
      <w:r>
        <w:rPr>
          <w:b/>
          <w:sz w:val="22"/>
        </w:rPr>
        <w:t>第三轮：探索性因子分析（EFA）。</w:t>
      </w:r>
      <w:r>
        <w:rPr>
          <w:sz w:val="22"/>
        </w:rPr>
        <w:t>在整体KMO值 &gt; 0.70且Bartlett球型检验p &lt; 0.05的前提下，对全量表进行主成分分析，采用最大方差正交旋转（Varimax）提取因子，依据以下标准筛选题项与变量：</w:t>
      </w:r>
    </w:p>
    <w:p w14:paraId="318D2D65">
      <w:pPr>
        <w:spacing w:before="60" w:after="180"/>
        <w:jc w:val="center"/>
      </w:pPr>
      <w:r>
        <w:rPr>
          <w:i/>
        </w:rPr>
        <w:t>表4  EFA题项与变量筛选标准</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2076"/>
        <w:gridCol w:w="2076"/>
        <w:gridCol w:w="2076"/>
        <w:gridCol w:w="2076"/>
      </w:tblGrid>
      <w:tr>
        <w:tc>
          <w:tcPr>
            <w:tcW w:type="dxa" w:w="1872"/>
            <w:shd w:val="clear" w:color="auto" w:fill="E76F51"/>
          </w:tcPr>
          <w:p>
            <w:pPr>
              <w:jc w:val="center"/>
            </w:pPr>
            <w:r>
              <w:rPr>
                <w:b/>
                <w:color w:val="FFFFFF"/>
                <w:sz w:val="20"/>
              </w:rPr>
              <w:t>检验指标</w:t>
            </w:r>
          </w:p>
        </w:tc>
        <w:tc>
          <w:tcPr>
            <w:tcW w:type="dxa" w:w="2304"/>
            <w:shd w:val="clear" w:color="auto" w:fill="E76F51"/>
          </w:tcPr>
          <w:p>
            <w:pPr>
              <w:jc w:val="center"/>
            </w:pPr>
            <w:r>
              <w:rPr>
                <w:b/>
                <w:color w:val="FFFFFF"/>
                <w:sz w:val="20"/>
              </w:rPr>
              <w:t>筛选标准（阈值）</w:t>
            </w:r>
          </w:p>
        </w:tc>
        <w:tc>
          <w:tcPr>
            <w:tcW w:type="dxa" w:w="2448"/>
            <w:shd w:val="clear" w:color="auto" w:fill="E76F51"/>
          </w:tcPr>
          <w:p>
            <w:pPr>
              <w:jc w:val="center"/>
            </w:pPr>
            <w:r>
              <w:rPr>
                <w:b/>
                <w:color w:val="FFFFFF"/>
                <w:sz w:val="20"/>
              </w:rPr>
              <w:t>未达标处理方式</w:t>
            </w:r>
          </w:p>
        </w:tc>
        <w:tc>
          <w:tcPr>
            <w:tcW w:type="dxa" w:w="2160"/>
            <w:shd w:val="clear" w:color="auto" w:fill="E76F51"/>
          </w:tcPr>
          <w:p>
            <w:pPr>
              <w:jc w:val="center"/>
            </w:pPr>
            <w:r>
              <w:rPr>
                <w:b/>
                <w:color w:val="FFFFFF"/>
                <w:sz w:val="20"/>
              </w:rPr>
              <w:t>备注</w:t>
            </w:r>
          </w:p>
        </w:tc>
      </w:tr>
      <w:tr>
        <w:tc>
          <w:tcPr>
            <w:tcW w:type="dxa" w:w="1872"/>
          </w:tcPr>
          <w:p>
            <w:pPr>
              <w:jc w:val="center"/>
            </w:pPr>
            <w:r>
              <w:rPr>
                <w:sz w:val="19"/>
              </w:rPr>
              <w:t>因子载荷（λ）</w:t>
            </w:r>
          </w:p>
        </w:tc>
        <w:tc>
          <w:tcPr>
            <w:tcW w:type="dxa" w:w="2304"/>
          </w:tcPr>
          <w:p>
            <w:pPr>
              <w:jc w:val="center"/>
            </w:pPr>
            <w:r>
              <w:rPr>
                <w:sz w:val="19"/>
              </w:rPr>
              <w:t>≥ 0.50</w:t>
            </w:r>
          </w:p>
        </w:tc>
        <w:tc>
          <w:tcPr>
            <w:tcW w:type="dxa" w:w="2448"/>
          </w:tcPr>
          <w:p>
            <w:pPr>
              <w:jc w:val="center"/>
            </w:pPr>
            <w:r>
              <w:rPr>
                <w:sz w:val="19"/>
              </w:rPr>
              <w:t>删除该题项</w:t>
            </w:r>
          </w:p>
        </w:tc>
        <w:tc>
          <w:tcPr>
            <w:tcW w:type="dxa" w:w="2160"/>
          </w:tcPr>
          <w:p>
            <w:pPr>
              <w:jc w:val="center"/>
            </w:pPr>
            <w:r>
              <w:rPr>
                <w:sz w:val="19"/>
              </w:rPr>
              <w:t>与主因子的相关强度</w:t>
            </w:r>
          </w:p>
        </w:tc>
      </w:tr>
      <w:tr>
        <w:tc>
          <w:tcPr>
            <w:tcW w:type="dxa" w:w="1872"/>
          </w:tcPr>
          <w:p>
            <w:pPr>
              <w:jc w:val="center"/>
            </w:pPr>
            <w:r>
              <w:rPr>
                <w:sz w:val="19"/>
              </w:rPr>
              <w:t>交叉载荷差值</w:t>
            </w:r>
          </w:p>
        </w:tc>
        <w:tc>
          <w:tcPr>
            <w:tcW w:type="dxa" w:w="2304"/>
          </w:tcPr>
          <w:p>
            <w:pPr>
              <w:jc w:val="center"/>
            </w:pPr>
            <w:r>
              <w:rPr>
                <w:sz w:val="19"/>
              </w:rPr>
              <w:t>≥ 0.20（主因子 – 次因子）</w:t>
            </w:r>
          </w:p>
        </w:tc>
        <w:tc>
          <w:tcPr>
            <w:tcW w:type="dxa" w:w="2448"/>
          </w:tcPr>
          <w:p>
            <w:pPr>
              <w:jc w:val="center"/>
            </w:pPr>
            <w:r>
              <w:rPr>
                <w:sz w:val="19"/>
              </w:rPr>
              <w:t>删除该题项</w:t>
            </w:r>
          </w:p>
        </w:tc>
        <w:tc>
          <w:tcPr>
            <w:tcW w:type="dxa" w:w="2160"/>
          </w:tcPr>
          <w:p>
            <w:pPr>
              <w:jc w:val="center"/>
            </w:pPr>
            <w:r>
              <w:rPr>
                <w:sz w:val="19"/>
              </w:rPr>
              <w:t>防止题项归属模糊</w:t>
            </w:r>
          </w:p>
        </w:tc>
      </w:tr>
      <w:tr>
        <w:tc>
          <w:tcPr>
            <w:tcW w:type="dxa" w:w="1872"/>
          </w:tcPr>
          <w:p>
            <w:pPr>
              <w:jc w:val="center"/>
            </w:pPr>
            <w:r>
              <w:rPr>
                <w:sz w:val="19"/>
              </w:rPr>
              <w:t>KMO取样充分性</w:t>
            </w:r>
          </w:p>
        </w:tc>
        <w:tc>
          <w:tcPr>
            <w:tcW w:type="dxa" w:w="2304"/>
          </w:tcPr>
          <w:p>
            <w:pPr>
              <w:jc w:val="center"/>
            </w:pPr>
            <w:r>
              <w:rPr>
                <w:sz w:val="19"/>
              </w:rPr>
              <w:t>≥ 0.70（可接受）</w:t>
            </w:r>
          </w:p>
        </w:tc>
        <w:tc>
          <w:tcPr>
            <w:tcW w:type="dxa" w:w="2448"/>
          </w:tcPr>
          <w:p>
            <w:pPr>
              <w:jc w:val="center"/>
            </w:pPr>
            <w:r>
              <w:rPr>
                <w:sz w:val="19"/>
              </w:rPr>
              <w:t>若 &lt; 0.60 审查整体量表设计</w:t>
            </w:r>
          </w:p>
        </w:tc>
        <w:tc>
          <w:tcPr>
            <w:tcW w:type="dxa" w:w="2160"/>
          </w:tcPr>
          <w:p>
            <w:pPr>
              <w:jc w:val="center"/>
            </w:pPr>
            <w:r>
              <w:rPr>
                <w:sz w:val="19"/>
              </w:rPr>
              <w:t>矩阵球型性检验前提</w:t>
            </w:r>
          </w:p>
        </w:tc>
      </w:tr>
      <w:tr>
        <w:tc>
          <w:tcPr>
            <w:tcW w:type="dxa" w:w="1872"/>
          </w:tcPr>
          <w:p>
            <w:pPr>
              <w:jc w:val="center"/>
            </w:pPr>
            <w:r>
              <w:rPr>
                <w:sz w:val="19"/>
              </w:rPr>
              <w:t>Bartlett球型检验</w:t>
            </w:r>
          </w:p>
        </w:tc>
        <w:tc>
          <w:tcPr>
            <w:tcW w:type="dxa" w:w="2304"/>
          </w:tcPr>
          <w:p>
            <w:pPr>
              <w:jc w:val="center"/>
            </w:pPr>
            <w:r>
              <w:rPr>
                <w:sz w:val="19"/>
              </w:rPr>
              <w:t>p &lt; 0.05</w:t>
            </w:r>
          </w:p>
        </w:tc>
        <w:tc>
          <w:tcPr>
            <w:tcW w:type="dxa" w:w="2448"/>
          </w:tcPr>
          <w:p>
            <w:pPr>
              <w:jc w:val="center"/>
            </w:pPr>
            <w:r>
              <w:rPr>
                <w:sz w:val="19"/>
              </w:rPr>
              <w:t>数据不适合EFA，检查量表</w:t>
            </w:r>
          </w:p>
        </w:tc>
        <w:tc>
          <w:tcPr>
            <w:tcW w:type="dxa" w:w="2160"/>
          </w:tcPr>
          <w:p>
            <w:pPr>
              <w:jc w:val="center"/>
            </w:pPr>
            <w:r>
              <w:rPr>
                <w:sz w:val="19"/>
              </w:rPr>
              <w:t>检验相关矩阵非单位阵</w:t>
            </w:r>
          </w:p>
        </w:tc>
      </w:tr>
      <w:tr>
        <w:tc>
          <w:tcPr>
            <w:tcW w:type="dxa" w:w="1872"/>
          </w:tcPr>
          <w:p>
            <w:pPr>
              <w:jc w:val="center"/>
            </w:pPr>
            <w:r>
              <w:rPr>
                <w:sz w:val="19"/>
              </w:rPr>
              <w:t>因子特征根</w:t>
            </w:r>
          </w:p>
        </w:tc>
        <w:tc>
          <w:tcPr>
            <w:tcW w:type="dxa" w:w="2304"/>
          </w:tcPr>
          <w:p>
            <w:pPr>
              <w:jc w:val="center"/>
            </w:pPr>
            <w:r>
              <w:rPr>
                <w:sz w:val="19"/>
              </w:rPr>
              <w:t>≥ 1.0（Kaiser准则）</w:t>
            </w:r>
          </w:p>
        </w:tc>
        <w:tc>
          <w:tcPr>
            <w:tcW w:type="dxa" w:w="2448"/>
          </w:tcPr>
          <w:p>
            <w:pPr>
              <w:jc w:val="center"/>
            </w:pPr>
            <w:r>
              <w:rPr>
                <w:sz w:val="19"/>
              </w:rPr>
              <w:t>参考碎石图（Scree Plot）</w:t>
            </w:r>
          </w:p>
        </w:tc>
        <w:tc>
          <w:tcPr>
            <w:tcW w:type="dxa" w:w="2160"/>
          </w:tcPr>
          <w:p>
            <w:pPr>
              <w:jc w:val="center"/>
            </w:pPr>
            <w:r>
              <w:rPr>
                <w:sz w:val="19"/>
              </w:rPr>
              <w:t>决定保留因子数</w:t>
            </w:r>
          </w:p>
        </w:tc>
      </w:tr>
      <w:tr>
        <w:tc>
          <w:tcPr>
            <w:tcW w:type="dxa" w:w="1872"/>
          </w:tcPr>
          <w:p>
            <w:pPr>
              <w:jc w:val="center"/>
            </w:pPr>
            <w:r>
              <w:rPr>
                <w:sz w:val="19"/>
              </w:rPr>
              <w:t>累计方差解释率</w:t>
            </w:r>
          </w:p>
        </w:tc>
        <w:tc>
          <w:tcPr>
            <w:tcW w:type="dxa" w:w="2304"/>
          </w:tcPr>
          <w:p>
            <w:pPr>
              <w:jc w:val="center"/>
            </w:pPr>
            <w:r>
              <w:rPr>
                <w:sz w:val="19"/>
              </w:rPr>
              <w:t>≥ 50%</w:t>
            </w:r>
          </w:p>
        </w:tc>
        <w:tc>
          <w:tcPr>
            <w:tcW w:type="dxa" w:w="2448"/>
          </w:tcPr>
          <w:p>
            <w:pPr>
              <w:jc w:val="center"/>
            </w:pPr>
            <w:r>
              <w:rPr>
                <w:sz w:val="19"/>
              </w:rPr>
              <w:t>增加因子数或精简量表</w:t>
            </w:r>
          </w:p>
        </w:tc>
        <w:tc>
          <w:tcPr>
            <w:tcW w:type="dxa" w:w="2160"/>
          </w:tcPr>
          <w:p>
            <w:pPr>
              <w:jc w:val="center"/>
            </w:pPr>
            <w:r>
              <w:rPr>
                <w:sz w:val="19"/>
              </w:rPr>
              <w:t>因子结构有效性</w:t>
            </w:r>
          </w:p>
        </w:tc>
      </w:tr>
      <w:tr>
        <w:tc>
          <w:tcPr>
            <w:tcW w:type="dxa" w:w="1872"/>
          </w:tcPr>
          <w:p>
            <w:pPr>
              <w:jc w:val="center"/>
            </w:pPr>
            <w:r>
              <w:rPr>
                <w:sz w:val="19"/>
              </w:rPr>
              <w:t>构念量表题项数</w:t>
            </w:r>
          </w:p>
        </w:tc>
        <w:tc>
          <w:tcPr>
            <w:tcW w:type="dxa" w:w="2304"/>
          </w:tcPr>
          <w:p>
            <w:pPr>
              <w:jc w:val="center"/>
            </w:pPr>
            <w:r>
              <w:rPr>
                <w:sz w:val="19"/>
              </w:rPr>
              <w:t>至少保留 2 题（推荐 3 题）</w:t>
            </w:r>
          </w:p>
        </w:tc>
        <w:tc>
          <w:tcPr>
            <w:tcW w:type="dxa" w:w="2448"/>
          </w:tcPr>
          <w:p>
            <w:pPr>
              <w:jc w:val="center"/>
            </w:pPr>
            <w:r>
              <w:rPr>
                <w:sz w:val="19"/>
              </w:rPr>
              <w:t>题项 &lt; 2 则剔除该构念</w:t>
            </w:r>
          </w:p>
        </w:tc>
        <w:tc>
          <w:tcPr>
            <w:tcW w:type="dxa" w:w="2160"/>
          </w:tcPr>
          <w:p>
            <w:pPr>
              <w:jc w:val="center"/>
            </w:pPr>
            <w:r>
              <w:rPr>
                <w:sz w:val="19"/>
              </w:rPr>
              <w:t>保证测量稳健性</w:t>
            </w:r>
          </w:p>
        </w:tc>
      </w:tr>
    </w:tbl>
    <w:p w14:paraId="6911B479">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（四）预期筛选结果</w:t>
      </w:r>
    </w:p>
    <w:p w14:paraId="44AFC291">
      <w:pPr>
        <w:spacing w:before="0" w:after="120"/>
        <w:ind w:firstLine="420"/>
      </w:pPr>
      <w:r>
        <w:rPr>
          <w:sz w:val="22"/>
        </w:rPr>
        <w:t>根据现场拦截访谈与深度访谈的前期定性判断，SC（服务体验顾虑）与CB（成本价值阻碍）最有可能在EFA中呈现因子混淆，若双重负荷条件触发，将考虑将SC的核心题项（SE1：现场组织混乱担忧）吸收进CB维度，并删除原SC变量，使正式问卷的潜变量数量由10个压缩至9个。</w:t>
      </w:r>
    </w:p>
    <w:p w14:paraId="104ABBED">
      <w:pPr>
        <w:spacing w:before="0" w:after="120"/>
        <w:ind w:firstLine="420"/>
      </w:pPr>
      <w:r>
        <w:rPr>
          <w:sz w:val="22"/>
        </w:rPr>
        <w:t>其余9个变量预期经过题项精简后均可通过信效度检验，进入正式问卷的量表题项总数预计在21—24道之间，与离散选择模型（DCM）选择集、基础信息题合并后，控制正式问卷总长度在35—40题以内，确保作答体验良好，降低无回答偏差风险。</w:t>
      </w:r>
    </w:p>
    <w:p w14:paraId="6FD5EA87">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六、定量研究设计</w:t>
      </w:r>
    </w:p>
    <w:p w14:paraId="0BADFE29">
      <w:pPr>
        <w:spacing w:before="0" w:after="120"/>
        <w:ind w:firstLine="420"/>
      </w:pPr>
      <w:r>
        <w:rPr>
          <w:sz w:val="22"/>
        </w:rPr>
        <w:t>正式定量调查阶段采用结构化自填式问卷，问卷设计综合SEM量表与DCM选择集两大模块，辅以基础信息题和行为描述题。</w:t>
      </w:r>
    </w:p>
    <w:p w14:paraId="456BAFF6">
      <w:pPr>
        <w:pStyle w:val="4"/>
        <w:spacing w:before="12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（一）量表设计依据</w:t>
      </w:r>
    </w:p>
    <w:p w14:paraId="4CD74444">
      <w:pPr>
        <w:spacing w:before="0" w:after="120"/>
        <w:ind w:firstLine="420"/>
      </w:pPr>
      <w:r>
        <w:rPr>
          <w:sz w:val="22"/>
        </w:rPr>
        <w:t>全部潜变量的测量均采用李克特（Likert）5点量表，选项从"1=非常不同意"到"5=非常同意"。量表题项依据以下原则设计：（1）理论对应性——每道题项须能直接映射至对应潜变量的核心内涵，避免语义泛化；（2）语言通俗性——用Z世代日常用语表述测量情境（如"安利内容""应援物""打卡"），提升作答共鸣与准确性；（3）反向题适度设置——在CB、SC等阻碍类变量中设置方向一致的"担忧程度"量表，避免反向编码带来的作答混淆。</w:t>
      </w:r>
    </w:p>
    <w:p w14:paraId="2A55698A">
      <w:pPr>
        <w:pStyle w:val="4"/>
        <w:spacing w:before="12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（二）离散选择模型（DCM）模块</w:t>
      </w:r>
    </w:p>
    <w:p w14:paraId="7C7F2C13">
      <w:pPr>
        <w:spacing w:before="0" w:after="120"/>
        <w:ind w:firstLine="420"/>
        <w:rPr>
          <w:sz w:val="22"/>
        </w:rPr>
      </w:pPr>
      <w:r>
        <w:rPr>
          <w:sz w:val="22"/>
        </w:rPr>
        <w:t>问卷中嵌入三组离散选择集（Choice Sets），每组呈现3个演唱会票务+文旅配套套餐方案及"均不购买"选项，决策属性包含票价档位（380元/680元/1280元）、明星互动等级（无互动/轻度/深度）与文旅配套类型（无/单景点票/双景点+酒店折扣），通过正交实验设计（Orthogonal Design）保证属性组合的统计效率。DCM模块用于估计Z世代对各属性的边际效用及支付意愿（Willingness to Pay，WTP），为天津文旅产品定价与组合策略提供量化依据。</w:t>
      </w:r>
    </w:p>
    <w:p w14:paraId="7CB9CCF5">
      <w:pPr>
        <w:pStyle w:val="4"/>
        <w:spacing w:before="120" w:after="60"/>
        <w:rPr>
          <w:rFonts w:hint="default" w:eastAsia="宋体"/>
          <w:sz w:val="22"/>
          <w:lang w:val="en-US" w:eastAsia="zh-CN"/>
        </w:rPr>
      </w:pPr>
      <w:r>
        <w:rPr>
          <w:rFonts w:hint="eastAsia" w:ascii="宋体" w:hAnsi="宋体" w:eastAsia="宋体" w:cs="宋体"/>
          <w:b/>
          <w:color w:val="000000" w:themeColor="text1"/>
          <w:sz w:val="24"/>
          <w:szCs w:val="24"/>
          <w14:textFill>
            <w14:solidFill>
              <w14:schemeClr w14:val="tx1"/>
            </w14:solidFill>
          </w14:textFill>
        </w:rPr>
        <w:t>（</w:t>
      </w:r>
      <w:r>
        <w:rPr>
          <w:rFonts w:hint="eastAsia" w:ascii="宋体" w:hAnsi="宋体" w:eastAsia="宋体" w:cs="宋体"/>
          <w:b/>
          <w:color w:val="000000" w:themeColor="text1"/>
          <w:sz w:val="24"/>
          <w:szCs w:val="24"/>
          <w:lang w:val="en-US" w:eastAsia="zh-CN"/>
          <w14:textFill>
            <w14:solidFill>
              <w14:schemeClr w14:val="tx1"/>
            </w14:solidFill>
          </w14:textFill>
        </w:rPr>
        <w:t>三</w:t>
      </w:r>
      <w:r>
        <w:rPr>
          <w:rFonts w:hint="eastAsia" w:ascii="宋体" w:hAnsi="宋体" w:eastAsia="宋体" w:cs="宋体"/>
          <w:b/>
          <w:color w:val="000000" w:themeColor="text1"/>
          <w:sz w:val="24"/>
          <w:szCs w:val="24"/>
          <w14:textFill>
            <w14:solidFill>
              <w14:schemeClr w14:val="tx1"/>
            </w14:solidFill>
          </w14:textFill>
        </w:rPr>
        <w:t>）</w:t>
      </w:r>
      <w:r>
        <w:rPr>
          <w:rFonts w:hint="eastAsia" w:ascii="宋体" w:hAnsi="宋体" w:eastAsia="宋体" w:cs="宋体"/>
          <w:b/>
          <w:color w:val="000000" w:themeColor="text1"/>
          <w:sz w:val="24"/>
          <w:szCs w:val="24"/>
          <w:lang w:val="en-US" w:eastAsia="zh-CN"/>
          <w14:textFill>
            <w14:solidFill>
              <w14:schemeClr w14:val="tx1"/>
            </w14:solidFill>
          </w14:textFill>
        </w:rPr>
        <w:t>多目标规划补充模块</w:t>
      </w:r>
    </w:p>
    <w:p w14:paraId="1D8B009D">
      <w:pPr>
        <w:pStyle w:val="3"/>
        <w:spacing w:before="180" w:after="80"/>
        <w:rPr>
          <w:rFonts w:hint="eastAsia" w:ascii="黑体" w:hAnsi="黑体" w:eastAsia="黑体" w:cs="黑体"/>
          <w:b/>
          <w:color w:val="000000" w:themeColor="text1"/>
          <w:sz w:val="30"/>
          <w:szCs w:val="30"/>
          <w14:textFill>
            <w14:solidFill>
              <w14:schemeClr w14:val="tx1"/>
            </w14:solidFill>
          </w14:textFill>
        </w:rPr>
      </w:pPr>
      <w:r>
        <w:rPr>
          <w:rFonts w:hint="eastAsia" w:ascii="黑体" w:hAnsi="黑体" w:eastAsia="黑体" w:cs="黑体"/>
          <w:b/>
          <w:color w:val="000000" w:themeColor="text1"/>
          <w:sz w:val="30"/>
          <w:szCs w:val="30"/>
          <w14:textFill>
            <w14:solidFill>
              <w14:schemeClr w14:val="tx1"/>
            </w14:solidFill>
          </w14:textFill>
        </w:rPr>
        <w:t>第三章  问卷调查抽样方案设计</w:t>
      </w:r>
    </w:p>
    <w:p w14:paraId="5042BEF9">
      <w:pPr>
        <w:pStyle w:val="3"/>
        <w:spacing w:before="160" w:after="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一、抽样方法</w:t>
      </w:r>
    </w:p>
    <w:p w14:paraId="0ECA9494">
      <w:pPr>
        <w:spacing w:before="0" w:after="100"/>
        <w:ind w:firstLine="420"/>
      </w:pPr>
      <w:r>
        <w:rPr>
          <w:sz w:val="22"/>
        </w:rPr>
        <w:t>本研究拒绝单一的随机便利发放，采用分层抽样与多阶段抽样相结合的方法，沿"地域层×渠道层"两个维度同时分层，在每层内部再实施多阶段抽样，以兼顾样本代表性与现实可操作性。</w:t>
      </w:r>
    </w:p>
    <w:p w14:paraId="0200E94E">
      <w:pPr>
        <w:pStyle w:val="4"/>
        <w:spacing w:before="100" w:after="6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（一）第一维度：地域分层</w:t>
      </w:r>
    </w:p>
    <w:p w14:paraId="0065BBB8">
      <w:pPr>
        <w:spacing w:before="0" w:after="100"/>
        <w:ind w:firstLine="420"/>
      </w:pPr>
      <w:r>
        <w:rPr>
          <w:sz w:val="22"/>
        </w:rPr>
        <w:t>根据演唱会市场数据，天津大型演唱会的本地观众比例约为30%—35%，外地来津观众约占65%—70%。据此将总样本按30∶70的比例分配至"天津本地层"与"外地来津层"，确保外溢消费效应的研究具有足够的统计功效。</w:t>
      </w:r>
    </w:p>
    <w:p w14:paraId="3B964362">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（二）第二维度：渠道分层</w:t>
      </w:r>
    </w:p>
    <w:p w14:paraId="0213190A">
      <w:pPr>
        <w:spacing w:before="0" w:after="100"/>
        <w:ind w:firstLine="420"/>
      </w:pPr>
      <w:r>
        <w:rPr>
          <w:sz w:val="22"/>
        </w:rPr>
        <w:t>在每个地域层内部，进一步区分线上问卷与线下拦截两个子渠道，比例约为70∶30（线上∶线下），以平衡样本触达效率与粉丝群体真实分布。</w:t>
      </w:r>
    </w:p>
    <w:p w14:paraId="57F7ADF7">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（三）各渠道多阶段抽样实现</w:t>
      </w:r>
    </w:p>
    <w:p w14:paraId="599D435B">
      <w:pPr>
        <w:spacing w:before="40" w:after="160"/>
        <w:jc w:val="center"/>
      </w:pPr>
      <w:r>
        <w:rPr>
          <w:i/>
        </w:rPr>
        <w:t>表6  各层次多阶段抽样方案</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1661"/>
        <w:gridCol w:w="1661"/>
        <w:gridCol w:w="1661"/>
        <w:gridCol w:w="1661"/>
        <w:gridCol w:w="1661"/>
      </w:tblGrid>
      <w:tr>
        <w:tc>
          <w:tcPr>
            <w:tcW w:type="dxa" w:w="1008"/>
            <w:shd w:val="clear" w:color="auto" w:fill="048A81"/>
          </w:tcPr>
          <w:p>
            <w:pPr>
              <w:jc w:val="center"/>
            </w:pPr>
            <w:r>
              <w:rPr>
                <w:b/>
                <w:color w:val="FFFFFF"/>
                <w:sz w:val="20"/>
              </w:rPr>
              <w:t>层次划分</w:t>
            </w:r>
          </w:p>
        </w:tc>
        <w:tc>
          <w:tcPr>
            <w:tcW w:type="dxa" w:w="1584"/>
            <w:shd w:val="clear" w:color="auto" w:fill="048A81"/>
          </w:tcPr>
          <w:p>
            <w:pPr>
              <w:jc w:val="center"/>
            </w:pPr>
            <w:r>
              <w:rPr>
                <w:b/>
                <w:color w:val="FFFFFF"/>
                <w:sz w:val="20"/>
              </w:rPr>
              <w:t>地域层</w:t>
            </w:r>
          </w:p>
        </w:tc>
        <w:tc>
          <w:tcPr>
            <w:tcW w:type="dxa" w:w="1008"/>
            <w:shd w:val="clear" w:color="auto" w:fill="048A81"/>
          </w:tcPr>
          <w:p>
            <w:pPr>
              <w:jc w:val="center"/>
            </w:pPr>
            <w:r>
              <w:rPr>
                <w:b/>
                <w:color w:val="FFFFFF"/>
                <w:sz w:val="20"/>
              </w:rPr>
              <w:t>渠道层</w:t>
            </w:r>
          </w:p>
        </w:tc>
        <w:tc>
          <w:tcPr>
            <w:tcW w:type="dxa" w:w="3024"/>
            <w:shd w:val="clear" w:color="auto" w:fill="048A81"/>
          </w:tcPr>
          <w:p>
            <w:pPr>
              <w:jc w:val="center"/>
            </w:pPr>
            <w:r>
              <w:rPr>
                <w:b/>
                <w:color w:val="FFFFFF"/>
                <w:sz w:val="20"/>
              </w:rPr>
              <w:t>具体抽样方式</w:t>
            </w:r>
          </w:p>
        </w:tc>
        <w:tc>
          <w:tcPr>
            <w:tcW w:type="dxa" w:w="2160"/>
            <w:shd w:val="clear" w:color="auto" w:fill="048A81"/>
          </w:tcPr>
          <w:p>
            <w:pPr>
              <w:jc w:val="center"/>
            </w:pPr>
            <w:r>
              <w:rPr>
                <w:b/>
                <w:color w:val="FFFFFF"/>
                <w:sz w:val="20"/>
              </w:rPr>
              <w:t>目标群体</w:t>
            </w:r>
          </w:p>
        </w:tc>
      </w:tr>
      <w:tr>
        <w:tc>
          <w:tcPr>
            <w:tcW w:type="dxa" w:w="1008"/>
          </w:tcPr>
          <w:p>
            <w:pPr>
              <w:jc w:val="center"/>
            </w:pPr>
            <w:r>
              <w:rPr>
                <w:sz w:val="19"/>
              </w:rPr>
              <w:t>层次A</w:t>
            </w:r>
          </w:p>
        </w:tc>
        <w:tc>
          <w:tcPr>
            <w:tcW w:type="dxa" w:w="1584"/>
          </w:tcPr>
          <w:p>
            <w:pPr>
              <w:jc w:val="center"/>
            </w:pPr>
            <w:r>
              <w:rPr>
                <w:sz w:val="19"/>
              </w:rPr>
              <w:t>天津本地</w:t>
              <w:br/>
              <w:t>（占比约30%）</w:t>
            </w:r>
          </w:p>
        </w:tc>
        <w:tc>
          <w:tcPr>
            <w:tcW w:type="dxa" w:w="1008"/>
          </w:tcPr>
          <w:p>
            <w:pPr>
              <w:jc w:val="center"/>
            </w:pPr>
            <w:r>
              <w:rPr>
                <w:sz w:val="19"/>
              </w:rPr>
              <w:t>线上</w:t>
            </w:r>
          </w:p>
        </w:tc>
        <w:tc>
          <w:tcPr>
            <w:tcW w:type="dxa" w:w="3024"/>
          </w:tcPr>
          <w:p>
            <w:pPr>
              <w:jc w:val="center"/>
            </w:pPr>
            <w:r>
              <w:rPr>
                <w:sz w:val="19"/>
              </w:rPr>
              <w:t>微博超话/粉丝群整群抽样</w:t>
              <w:br/>
              <w:t>+ 配额控制（居住地=天津）</w:t>
            </w:r>
          </w:p>
        </w:tc>
        <w:tc>
          <w:tcPr>
            <w:tcW w:type="dxa" w:w="2160"/>
          </w:tcPr>
          <w:p>
            <w:pPr>
              <w:jc w:val="center"/>
            </w:pPr>
            <w:r>
              <w:rPr>
                <w:sz w:val="19"/>
              </w:rPr>
              <w:t>Z世代天津常住居民</w:t>
              <w:br/>
              <w:t>演唱会粉丝</w:t>
            </w:r>
          </w:p>
        </w:tc>
      </w:tr>
      <w:tr>
        <w:tc>
          <w:tcPr>
            <w:tcW w:type="dxa" w:w="1008"/>
          </w:tcPr>
          <w:p>
            <w:pPr>
              <w:jc w:val="center"/>
            </w:pPr>
            <w:r>
              <w:rPr>
                <w:sz w:val="19"/>
              </w:rPr>
              <w:t>层次B</w:t>
            </w:r>
          </w:p>
        </w:tc>
        <w:tc>
          <w:tcPr>
            <w:tcW w:type="dxa" w:w="1584"/>
          </w:tcPr>
          <w:p>
            <w:pPr>
              <w:jc w:val="center"/>
            </w:pPr>
            <w:r>
              <w:rPr>
                <w:sz w:val="19"/>
              </w:rPr>
              <w:t>天津本地</w:t>
            </w:r>
          </w:p>
        </w:tc>
        <w:tc>
          <w:tcPr>
            <w:tcW w:type="dxa" w:w="1008"/>
          </w:tcPr>
          <w:p>
            <w:pPr>
              <w:jc w:val="center"/>
            </w:pPr>
            <w:r>
              <w:rPr>
                <w:sz w:val="19"/>
              </w:rPr>
              <w:t>线下</w:t>
            </w:r>
          </w:p>
        </w:tc>
        <w:tc>
          <w:tcPr>
            <w:tcW w:type="dxa" w:w="3024"/>
          </w:tcPr>
          <w:p>
            <w:pPr>
              <w:jc w:val="center"/>
            </w:pPr>
            <w:r>
              <w:rPr>
                <w:sz w:val="19"/>
              </w:rPr>
              <w:t>演唱会散场后现场便利抽样</w:t>
              <w:br/>
              <w:t>（配额保证各年龄段）</w:t>
            </w:r>
          </w:p>
        </w:tc>
        <w:tc>
          <w:tcPr>
            <w:tcW w:type="dxa" w:w="2160"/>
          </w:tcPr>
          <w:p>
            <w:pPr>
              <w:jc w:val="center"/>
            </w:pPr>
            <w:r>
              <w:rPr>
                <w:sz w:val="19"/>
              </w:rPr>
              <w:t>现场观演人群</w:t>
              <w:br/>
              <w:t>（大张伟等场次拦访）</w:t>
            </w:r>
          </w:p>
        </w:tc>
      </w:tr>
      <w:tr>
        <w:tc>
          <w:tcPr>
            <w:tcW w:type="dxa" w:w="1008"/>
          </w:tcPr>
          <w:p>
            <w:pPr>
              <w:jc w:val="center"/>
            </w:pPr>
            <w:r>
              <w:rPr>
                <w:sz w:val="19"/>
              </w:rPr>
              <w:t>层次C</w:t>
            </w:r>
          </w:p>
        </w:tc>
        <w:tc>
          <w:tcPr>
            <w:tcW w:type="dxa" w:w="1584"/>
          </w:tcPr>
          <w:p>
            <w:pPr>
              <w:jc w:val="center"/>
            </w:pPr>
            <w:r>
              <w:rPr>
                <w:sz w:val="19"/>
              </w:rPr>
              <w:t>外地来津</w:t>
              <w:br/>
              <w:t>（占比约70%）</w:t>
            </w:r>
          </w:p>
        </w:tc>
        <w:tc>
          <w:tcPr>
            <w:tcW w:type="dxa" w:w="1008"/>
          </w:tcPr>
          <w:p>
            <w:pPr>
              <w:jc w:val="center"/>
            </w:pPr>
            <w:r>
              <w:rPr>
                <w:sz w:val="19"/>
              </w:rPr>
              <w:t>线上</w:t>
            </w:r>
          </w:p>
        </w:tc>
        <w:tc>
          <w:tcPr>
            <w:tcW w:type="dxa" w:w="3024"/>
          </w:tcPr>
          <w:p>
            <w:pPr>
              <w:jc w:val="center"/>
            </w:pPr>
            <w:r>
              <w:rPr>
                <w:sz w:val="19"/>
              </w:rPr>
              <w:t>PPS整群抽样：按省级人口</w:t>
              <w:br/>
              <w:t>比例在各省粉丝群投放</w:t>
            </w:r>
          </w:p>
        </w:tc>
        <w:tc>
          <w:tcPr>
            <w:tcW w:type="dxa" w:w="2160"/>
          </w:tcPr>
          <w:p>
            <w:pPr>
              <w:jc w:val="center"/>
            </w:pPr>
            <w:r>
              <w:rPr>
                <w:sz w:val="19"/>
              </w:rPr>
              <w:t>外省Z世代粉丝</w:t>
              <w:br/>
              <w:t>有来津观演经历/意愿</w:t>
            </w:r>
          </w:p>
        </w:tc>
      </w:tr>
      <w:tr>
        <w:tc>
          <w:tcPr>
            <w:tcW w:type="dxa" w:w="1008"/>
          </w:tcPr>
          <w:p>
            <w:pPr>
              <w:jc w:val="center"/>
            </w:pPr>
            <w:r>
              <w:rPr>
                <w:sz w:val="19"/>
              </w:rPr>
              <w:t>层次D</w:t>
            </w:r>
          </w:p>
        </w:tc>
        <w:tc>
          <w:tcPr>
            <w:tcW w:type="dxa" w:w="1584"/>
          </w:tcPr>
          <w:p>
            <w:pPr>
              <w:jc w:val="center"/>
            </w:pPr>
            <w:r>
              <w:rPr>
                <w:sz w:val="19"/>
              </w:rPr>
              <w:t>全国</w:t>
              <w:br/>
              <w:t>（潜在消费者）</w:t>
            </w:r>
          </w:p>
        </w:tc>
        <w:tc>
          <w:tcPr>
            <w:tcW w:type="dxa" w:w="1008"/>
          </w:tcPr>
          <w:p>
            <w:pPr>
              <w:jc w:val="center"/>
            </w:pPr>
            <w:r>
              <w:rPr>
                <w:sz w:val="19"/>
              </w:rPr>
              <w:t>线上</w:t>
            </w:r>
          </w:p>
        </w:tc>
        <w:tc>
          <w:tcPr>
            <w:tcW w:type="dxa" w:w="3024"/>
          </w:tcPr>
          <w:p>
            <w:pPr>
              <w:jc w:val="center"/>
            </w:pPr>
            <w:r>
              <w:rPr>
                <w:sz w:val="19"/>
              </w:rPr>
              <w:t>配额抽样：筛选"无演唱会</w:t>
              <w:br/>
              <w:t>经历"Z世代（嵌入筛选题）</w:t>
            </w:r>
          </w:p>
        </w:tc>
        <w:tc>
          <w:tcPr>
            <w:tcW w:type="dxa" w:w="2160"/>
          </w:tcPr>
          <w:p>
            <w:pPr>
              <w:jc w:val="center"/>
            </w:pPr>
            <w:r>
              <w:rPr>
                <w:sz w:val="19"/>
              </w:rPr>
              <w:t>有消费能力但未观演的</w:t>
              <w:br/>
              <w:t>Z世代潜在群体</w:t>
            </w:r>
          </w:p>
        </w:tc>
      </w:tr>
    </w:tbl>
    <w:p w14:paraId="6D4D6716">
      <w:pPr>
        <w:spacing w:before="0" w:after="100"/>
        <w:ind w:firstLine="420"/>
      </w:pPr>
      <w:r>
        <w:rPr>
          <w:sz w:val="22"/>
        </w:rPr>
        <w:t>此外，针对"无观演经历潜在消费者"单独设置配额，在线上问卷的引导语后以筛选题（"您是否有过线下观看演唱会的经历"）分流，确保该群体在总样本中占比不低于20%（约150份），以支持现有消费者与潜在消费者的对比分析。</w:t>
      </w:r>
    </w:p>
    <w:p w14:paraId="5B2DE8A5">
      <w:pPr>
        <w:pStyle w:val="3"/>
        <w:spacing w:before="160" w:after="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二、样本量计算</w:t>
      </w:r>
    </w:p>
    <w:p w14:paraId="14579991">
      <w:pPr>
        <w:spacing w:before="0" w:after="100"/>
        <w:ind w:firstLine="420"/>
      </w:pPr>
      <w:r>
        <w:rPr>
          <w:sz w:val="22"/>
        </w:rPr>
        <w:t>采用比例估计的简单随机抽样公式作为基准，再逐步引入设计效应与预估回收率进行修正。</w:t>
      </w:r>
    </w:p>
    <w:p w14:paraId="2DC1428A">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（一）基准样本量</w:t>
      </w:r>
    </w:p>
    <w:p w14:paraId="454ADDC5">
      <w:pPr>
        <w:spacing w:before="0" w:after="100"/>
        <w:ind w:firstLine="420"/>
      </w:pPr>
      <w:r>
        <w:rPr>
          <w:sz w:val="22"/>
        </w:rPr>
        <w:t>取置信水平95%（Zα/2 = 1.96）、估计比例p = 0.5（最大方差假设）、允许误差Δ = 5%，初始样本量为：</w:t>
      </w:r>
    </w:p>
    <w:p w14:paraId="126CE4F5">
      <w:pPr>
        <w:ind w:firstLine="420"/>
      </w:pPr>
      <w:r>
        <w:rPr>
          <w:sz w:val="22"/>
        </w:rPr>
        <w:t>n₀  =  Zα/2² × p(1−p) / Δ²  =  1.96² × 0.5 × 0.5 / 0.05²  ≈  385</w:t>
      </w:r>
    </w:p>
    <w:p w14:paraId="7C1AA52E">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（二）设计效应修正</w:t>
      </w:r>
    </w:p>
    <w:p w14:paraId="739445C0">
      <w:pPr>
        <w:spacing w:before="0" w:after="100"/>
        <w:ind w:firstLine="420"/>
      </w:pPr>
      <w:r>
        <w:rPr>
          <w:sz w:val="22"/>
        </w:rPr>
        <w:t>由于本研究采用分层多阶段整群抽样，层内同质性导致有效样本信息量低于等量简单随机样本。参考类似社会调查研究的经验值，设定设计效应 DEFF = 1.5，修正后：</w:t>
      </w:r>
    </w:p>
    <w:p w14:paraId="35933145">
      <w:pPr>
        <w:ind w:firstLine="420"/>
      </w:pPr>
      <w:r>
        <w:rPr>
          <w:sz w:val="22"/>
        </w:rPr>
        <w:t>n₁  =  n₀ × DEFF  =  385 × 1.5  =  578</w:t>
      </w:r>
    </w:p>
    <w:p w14:paraId="01521482">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（三）无回答率修正</w:t>
      </w:r>
    </w:p>
    <w:p w14:paraId="600D88DD">
      <w:pPr>
        <w:spacing w:before="0" w:after="100"/>
        <w:ind w:firstLine="420"/>
      </w:pPr>
      <w:r>
        <w:rPr>
          <w:sz w:val="22"/>
        </w:rPr>
        <w:t>综合线上问卷（预估有效回收率约75%）与线下拦截问卷（预估有效率约90%）的加权平均，整体有效回收率 r ≈ 80%，则计划发放量为：</w:t>
      </w:r>
    </w:p>
    <w:p w14:paraId="759E1A1E">
      <w:pPr>
        <w:ind w:firstLine="420"/>
      </w:pPr>
      <w:r>
        <w:rPr>
          <w:sz w:val="22"/>
        </w:rPr>
        <w:t>n₂  =  n₁ / r  =  578 / 0.80  ≈  723</w:t>
      </w:r>
    </w:p>
    <w:p w14:paraId="19743486">
      <w:pPr>
        <w:spacing w:before="0" w:after="100"/>
        <w:ind w:firstLine="420"/>
      </w:pPr>
      <w:r>
        <w:rPr>
          <w:sz w:val="22"/>
        </w:rPr>
        <w:t>考虑到SEM建模对样本量的更高要求（指标数×10法则：24题×10 = 240为下限，但通常建议400份以上以保证估计稳健性），以及潜在消费者配额（约150份），最终确定计划发放问卷750份，目标有效样本不低于600份。</w:t>
      </w:r>
    </w:p>
    <w:p w14:paraId="4880A1C9">
      <w:pPr>
        <w:spacing w:before="40" w:after="160"/>
        <w:jc w:val="center"/>
      </w:pPr>
      <w:r>
        <w:rPr>
          <w:i/>
        </w:rPr>
        <w:t>表7  各层计划发放量与预期有效样本</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1384"/>
        <w:gridCol w:w="1384"/>
        <w:gridCol w:w="1384"/>
        <w:gridCol w:w="1384"/>
        <w:gridCol w:w="1384"/>
        <w:gridCol w:w="1384"/>
      </w:tblGrid>
      <w:tr>
        <w:tc>
          <w:tcPr>
            <w:tcW w:type="dxa" w:w="2016"/>
            <w:shd w:val="clear" w:color="auto" w:fill="6B4E71"/>
          </w:tcPr>
          <w:p>
            <w:pPr>
              <w:jc w:val="center"/>
            </w:pPr>
            <w:r>
              <w:rPr>
                <w:b/>
                <w:color w:val="FFFFFF"/>
                <w:sz w:val="20"/>
              </w:rPr>
              <w:t>层次</w:t>
            </w:r>
          </w:p>
        </w:tc>
        <w:tc>
          <w:tcPr>
            <w:tcW w:type="dxa" w:w="1296"/>
            <w:shd w:val="clear" w:color="auto" w:fill="6B4E71"/>
          </w:tcPr>
          <w:p>
            <w:pPr>
              <w:jc w:val="center"/>
            </w:pPr>
            <w:r>
              <w:rPr>
                <w:b/>
                <w:color w:val="FFFFFF"/>
                <w:sz w:val="20"/>
              </w:rPr>
              <w:t>渠道</w:t>
            </w:r>
          </w:p>
        </w:tc>
        <w:tc>
          <w:tcPr>
            <w:tcW w:type="dxa" w:w="1296"/>
            <w:shd w:val="clear" w:color="auto" w:fill="6B4E71"/>
          </w:tcPr>
          <w:p>
            <w:pPr>
              <w:jc w:val="center"/>
            </w:pPr>
            <w:r>
              <w:rPr>
                <w:b/>
                <w:color w:val="FFFFFF"/>
                <w:sz w:val="20"/>
              </w:rPr>
              <w:t>计划发放量</w:t>
              <w:br/>
              <w:t>（份）</w:t>
            </w:r>
          </w:p>
        </w:tc>
        <w:tc>
          <w:tcPr>
            <w:tcW w:type="dxa" w:w="1296"/>
            <w:shd w:val="clear" w:color="auto" w:fill="6B4E71"/>
          </w:tcPr>
          <w:p>
            <w:pPr>
              <w:jc w:val="center"/>
            </w:pPr>
            <w:r>
              <w:rPr>
                <w:b/>
                <w:color w:val="FFFFFF"/>
                <w:sz w:val="20"/>
              </w:rPr>
              <w:t>预估有效率</w:t>
            </w:r>
          </w:p>
        </w:tc>
        <w:tc>
          <w:tcPr>
            <w:tcW w:type="dxa" w:w="1152"/>
            <w:shd w:val="clear" w:color="auto" w:fill="6B4E71"/>
          </w:tcPr>
          <w:p>
            <w:pPr>
              <w:jc w:val="center"/>
            </w:pPr>
            <w:r>
              <w:rPr>
                <w:b/>
                <w:color w:val="FFFFFF"/>
                <w:sz w:val="20"/>
              </w:rPr>
              <w:t>预期有效</w:t>
              <w:br/>
              <w:t>样本量</w:t>
            </w:r>
          </w:p>
        </w:tc>
        <w:tc>
          <w:tcPr>
            <w:tcW w:type="dxa" w:w="1152"/>
            <w:shd w:val="clear" w:color="auto" w:fill="6B4E71"/>
          </w:tcPr>
          <w:p>
            <w:pPr>
              <w:jc w:val="center"/>
            </w:pPr>
            <w:r>
              <w:rPr>
                <w:b/>
                <w:color w:val="FFFFFF"/>
                <w:sz w:val="20"/>
              </w:rPr>
              <w:t>占目标</w:t>
              <w:br/>
              <w:t>比例</w:t>
            </w:r>
          </w:p>
        </w:tc>
      </w:tr>
      <w:tr>
        <w:tc>
          <w:tcPr>
            <w:tcW w:type="dxa" w:w="2016"/>
          </w:tcPr>
          <w:p>
            <w:pPr>
              <w:jc w:val="center"/>
            </w:pPr>
            <w:r>
              <w:rPr>
                <w:sz w:val="19"/>
              </w:rPr>
              <w:t>天津本地（层A+B）</w:t>
            </w:r>
          </w:p>
        </w:tc>
        <w:tc>
          <w:tcPr>
            <w:tcW w:type="dxa" w:w="1296"/>
          </w:tcPr>
          <w:p>
            <w:pPr>
              <w:jc w:val="center"/>
            </w:pPr>
            <w:r>
              <w:rPr>
                <w:sz w:val="19"/>
              </w:rPr>
              <w:t>线上+线下</w:t>
            </w:r>
          </w:p>
        </w:tc>
        <w:tc>
          <w:tcPr>
            <w:tcW w:type="dxa" w:w="1296"/>
          </w:tcPr>
          <w:p>
            <w:pPr>
              <w:jc w:val="center"/>
            </w:pPr>
            <w:r>
              <w:rPr>
                <w:sz w:val="19"/>
              </w:rPr>
              <w:t>200</w:t>
            </w:r>
          </w:p>
        </w:tc>
        <w:tc>
          <w:tcPr>
            <w:tcW w:type="dxa" w:w="1296"/>
          </w:tcPr>
          <w:p>
            <w:pPr>
              <w:jc w:val="center"/>
            </w:pPr>
            <w:r>
              <w:rPr>
                <w:sz w:val="19"/>
              </w:rPr>
              <w:t>75%/90%</w:t>
            </w:r>
          </w:p>
        </w:tc>
        <w:tc>
          <w:tcPr>
            <w:tcW w:type="dxa" w:w="1152"/>
          </w:tcPr>
          <w:p>
            <w:pPr>
              <w:jc w:val="center"/>
            </w:pPr>
            <w:r>
              <w:rPr>
                <w:sz w:val="19"/>
              </w:rPr>
              <w:t>约158</w:t>
            </w:r>
          </w:p>
        </w:tc>
        <w:tc>
          <w:tcPr>
            <w:tcW w:type="dxa" w:w="1152"/>
          </w:tcPr>
          <w:p>
            <w:pPr>
              <w:jc w:val="center"/>
            </w:pPr>
            <w:r>
              <w:rPr>
                <w:sz w:val="19"/>
              </w:rPr>
              <w:t>~35%</w:t>
            </w:r>
          </w:p>
        </w:tc>
      </w:tr>
      <w:tr>
        <w:tc>
          <w:tcPr>
            <w:tcW w:type="dxa" w:w="2016"/>
          </w:tcPr>
          <w:p>
            <w:pPr>
              <w:jc w:val="center"/>
            </w:pPr>
            <w:r>
              <w:rPr>
                <w:sz w:val="19"/>
              </w:rPr>
              <w:t>外地来津（层C）</w:t>
            </w:r>
          </w:p>
        </w:tc>
        <w:tc>
          <w:tcPr>
            <w:tcW w:type="dxa" w:w="1296"/>
          </w:tcPr>
          <w:p>
            <w:pPr>
              <w:jc w:val="center"/>
            </w:pPr>
            <w:r>
              <w:rPr>
                <w:sz w:val="19"/>
              </w:rPr>
              <w:t>线上</w:t>
            </w:r>
          </w:p>
        </w:tc>
        <w:tc>
          <w:tcPr>
            <w:tcW w:type="dxa" w:w="1296"/>
          </w:tcPr>
          <w:p>
            <w:pPr>
              <w:jc w:val="center"/>
            </w:pPr>
            <w:r>
              <w:rPr>
                <w:sz w:val="19"/>
              </w:rPr>
              <w:t>350</w:t>
            </w:r>
          </w:p>
        </w:tc>
        <w:tc>
          <w:tcPr>
            <w:tcW w:type="dxa" w:w="1296"/>
          </w:tcPr>
          <w:p>
            <w:pPr>
              <w:jc w:val="center"/>
            </w:pPr>
            <w:r>
              <w:rPr>
                <w:sz w:val="19"/>
              </w:rPr>
              <w:t>75%</w:t>
            </w:r>
          </w:p>
        </w:tc>
        <w:tc>
          <w:tcPr>
            <w:tcW w:type="dxa" w:w="1152"/>
          </w:tcPr>
          <w:p>
            <w:pPr>
              <w:jc w:val="center"/>
            </w:pPr>
            <w:r>
              <w:rPr>
                <w:sz w:val="19"/>
              </w:rPr>
              <w:t>约263</w:t>
            </w:r>
          </w:p>
        </w:tc>
        <w:tc>
          <w:tcPr>
            <w:tcW w:type="dxa" w:w="1152"/>
          </w:tcPr>
          <w:p>
            <w:pPr>
              <w:jc w:val="center"/>
            </w:pPr>
            <w:r>
              <w:rPr>
                <w:sz w:val="19"/>
              </w:rPr>
              <w:t>~58%</w:t>
            </w:r>
          </w:p>
        </w:tc>
      </w:tr>
      <w:tr>
        <w:tc>
          <w:tcPr>
            <w:tcW w:type="dxa" w:w="2016"/>
          </w:tcPr>
          <w:p>
            <w:pPr>
              <w:jc w:val="center"/>
            </w:pPr>
            <w:r>
              <w:rPr>
                <w:sz w:val="19"/>
              </w:rPr>
              <w:t>潜在消费者（层D）</w:t>
            </w:r>
          </w:p>
        </w:tc>
        <w:tc>
          <w:tcPr>
            <w:tcW w:type="dxa" w:w="1296"/>
          </w:tcPr>
          <w:p>
            <w:pPr>
              <w:jc w:val="center"/>
            </w:pPr>
            <w:r>
              <w:rPr>
                <w:sz w:val="19"/>
              </w:rPr>
              <w:t>线上</w:t>
            </w:r>
          </w:p>
        </w:tc>
        <w:tc>
          <w:tcPr>
            <w:tcW w:type="dxa" w:w="1296"/>
          </w:tcPr>
          <w:p>
            <w:pPr>
              <w:jc w:val="center"/>
            </w:pPr>
            <w:r>
              <w:rPr>
                <w:sz w:val="19"/>
              </w:rPr>
              <w:t>80</w:t>
            </w:r>
          </w:p>
        </w:tc>
        <w:tc>
          <w:tcPr>
            <w:tcW w:type="dxa" w:w="1296"/>
          </w:tcPr>
          <w:p>
            <w:pPr>
              <w:jc w:val="center"/>
            </w:pPr>
            <w:r>
              <w:rPr>
                <w:sz w:val="19"/>
              </w:rPr>
              <w:t>80%</w:t>
            </w:r>
          </w:p>
        </w:tc>
        <w:tc>
          <w:tcPr>
            <w:tcW w:type="dxa" w:w="1152"/>
          </w:tcPr>
          <w:p>
            <w:pPr>
              <w:jc w:val="center"/>
            </w:pPr>
            <w:r>
              <w:rPr>
                <w:sz w:val="19"/>
              </w:rPr>
              <w:t>约64</w:t>
            </w:r>
          </w:p>
        </w:tc>
        <w:tc>
          <w:tcPr>
            <w:tcW w:type="dxa" w:w="1152"/>
          </w:tcPr>
          <w:p>
            <w:pPr>
              <w:jc w:val="center"/>
            </w:pPr>
            <w:r>
              <w:rPr>
                <w:sz w:val="19"/>
              </w:rPr>
              <w:t>~14%</w:t>
            </w:r>
          </w:p>
        </w:tc>
      </w:tr>
      <w:tr>
        <w:tc>
          <w:tcPr>
            <w:tcW w:type="dxa" w:w="2016"/>
          </w:tcPr>
          <w:p>
            <w:pPr>
              <w:jc w:val="center"/>
            </w:pPr>
            <w:r>
              <w:rPr>
                <w:sz w:val="19"/>
              </w:rPr>
              <w:t>合计</w:t>
            </w:r>
          </w:p>
        </w:tc>
        <w:tc>
          <w:tcPr>
            <w:tcW w:type="dxa" w:w="1296"/>
          </w:tcPr>
          <w:p>
            <w:pPr>
              <w:jc w:val="center"/>
            </w:pPr>
            <w:r>
              <w:rPr>
                <w:sz w:val="19"/>
              </w:rPr>
              <w:t>线上+线下</w:t>
            </w:r>
          </w:p>
        </w:tc>
        <w:tc>
          <w:tcPr>
            <w:tcW w:type="dxa" w:w="1296"/>
          </w:tcPr>
          <w:p>
            <w:pPr>
              <w:jc w:val="center"/>
            </w:pPr>
            <w:r>
              <w:rPr>
                <w:sz w:val="19"/>
              </w:rPr>
              <w:t>630</w:t>
            </w:r>
          </w:p>
        </w:tc>
        <w:tc>
          <w:tcPr>
            <w:tcW w:type="dxa" w:w="1296"/>
          </w:tcPr>
          <w:p>
            <w:pPr>
              <w:jc w:val="center"/>
            </w:pPr>
            <w:r>
              <w:rPr>
                <w:sz w:val="19"/>
              </w:rPr>
              <w:t>约79%</w:t>
            </w:r>
          </w:p>
        </w:tc>
        <w:tc>
          <w:tcPr>
            <w:tcW w:type="dxa" w:w="1152"/>
          </w:tcPr>
          <w:p>
            <w:pPr>
              <w:jc w:val="center"/>
            </w:pPr>
            <w:r>
              <w:rPr>
                <w:sz w:val="19"/>
              </w:rPr>
              <w:t>≥450</w:t>
            </w:r>
          </w:p>
        </w:tc>
        <w:tc>
          <w:tcPr>
            <w:tcW w:type="dxa" w:w="1152"/>
          </w:tcPr>
          <w:p>
            <w:pPr>
              <w:jc w:val="center"/>
            </w:pPr>
            <w:r>
              <w:rPr>
                <w:sz w:val="19"/>
              </w:rPr>
              <w:t>100%</w:t>
            </w:r>
          </w:p>
        </w:tc>
      </w:tr>
      <w:tr>
        <w:tc>
          <w:tcPr>
            <w:tcW w:type="dxa" w:w="2016"/>
          </w:tcPr>
          <w:p>
            <w:pPr>
              <w:jc w:val="center"/>
            </w:pPr>
            <w:r>
              <w:rPr>
                <w:sz w:val="19"/>
              </w:rPr>
              <w:t>实际回收（清洗后）</w:t>
            </w:r>
          </w:p>
        </w:tc>
        <w:tc>
          <w:tcPr>
            <w:tcW w:type="dxa" w:w="1296"/>
          </w:tcPr>
          <w:p>
            <w:pPr>
              <w:jc w:val="center"/>
            </w:pPr>
            <w:r>
              <w:rPr>
                <w:sz w:val="19"/>
              </w:rPr>
              <w:t>—</w:t>
            </w:r>
          </w:p>
        </w:tc>
        <w:tc>
          <w:tcPr>
            <w:tcW w:type="dxa" w:w="1296"/>
          </w:tcPr>
          <w:p>
            <w:pPr>
              <w:jc w:val="center"/>
            </w:pPr>
            <w:r>
              <w:rPr>
                <w:sz w:val="19"/>
              </w:rPr>
              <w:t>—</w:t>
            </w:r>
          </w:p>
        </w:tc>
        <w:tc>
          <w:tcPr>
            <w:tcW w:type="dxa" w:w="1296"/>
          </w:tcPr>
          <w:p>
            <w:pPr>
              <w:jc w:val="center"/>
            </w:pPr>
            <w:r>
              <w:rPr>
                <w:sz w:val="19"/>
              </w:rPr>
              <w:t>—</w:t>
            </w:r>
          </w:p>
        </w:tc>
        <w:tc>
          <w:tcPr>
            <w:tcW w:type="dxa" w:w="1152"/>
          </w:tcPr>
          <w:p>
            <w:pPr>
              <w:jc w:val="center"/>
            </w:pPr>
            <w:r>
              <w:rPr>
                <w:sz w:val="19"/>
              </w:rPr>
              <w:t>N=300</w:t>
            </w:r>
          </w:p>
        </w:tc>
        <w:tc>
          <w:tcPr>
            <w:tcW w:type="dxa" w:w="1152"/>
          </w:tcPr>
          <w:p>
            <w:pPr>
              <w:jc w:val="center"/>
            </w:pPr>
            <w:r>
              <w:rPr>
                <w:sz w:val="19"/>
              </w:rPr>
              <w:t>最终有效样本</w:t>
            </w:r>
          </w:p>
        </w:tc>
      </w:tr>
    </w:tbl>
    <w:p w14:paraId="601704F8">
      <w:pPr>
        <w:pStyle w:val="3"/>
        <w:spacing w:before="160" w:after="80"/>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三、抽样框构建</w:t>
      </w:r>
    </w:p>
    <w:p w14:paraId="3FB9DD0D">
      <w:pPr>
        <w:spacing w:before="0" w:after="100"/>
        <w:ind w:firstLine="420"/>
      </w:pPr>
      <w:r>
        <w:rPr>
          <w:sz w:val="22"/>
        </w:rPr>
        <w:t>线上与线下分别构建独立抽样框，具体如下：</w:t>
      </w:r>
    </w:p>
    <w:p w14:paraId="613CD634">
      <w:pPr>
        <w:spacing w:before="40" w:after="160"/>
        <w:jc w:val="center"/>
      </w:pPr>
      <w:r>
        <w:rPr>
          <w:i/>
        </w:rPr>
        <w:t>表8  抽样框构建方案</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2076"/>
        <w:gridCol w:w="2076"/>
        <w:gridCol w:w="2076"/>
        <w:gridCol w:w="2076"/>
      </w:tblGrid>
      <w:tr>
        <w:tc>
          <w:tcPr>
            <w:tcW w:type="dxa" w:w="1584"/>
            <w:shd w:val="clear" w:color="auto" w:fill="4A90D9"/>
          </w:tcPr>
          <w:p>
            <w:pPr>
              <w:jc w:val="center"/>
            </w:pPr>
            <w:r>
              <w:rPr>
                <w:b/>
                <w:color w:val="FFFFFF"/>
                <w:sz w:val="20"/>
              </w:rPr>
              <w:t>渠道类型</w:t>
            </w:r>
          </w:p>
        </w:tc>
        <w:tc>
          <w:tcPr>
            <w:tcW w:type="dxa" w:w="2160"/>
            <w:shd w:val="clear" w:color="auto" w:fill="4A90D9"/>
          </w:tcPr>
          <w:p>
            <w:pPr>
              <w:jc w:val="center"/>
            </w:pPr>
            <w:r>
              <w:rPr>
                <w:b/>
                <w:color w:val="FFFFFF"/>
                <w:sz w:val="20"/>
              </w:rPr>
              <w:t>具体平台/地点</w:t>
            </w:r>
          </w:p>
        </w:tc>
        <w:tc>
          <w:tcPr>
            <w:tcW w:type="dxa" w:w="2880"/>
            <w:shd w:val="clear" w:color="auto" w:fill="4A90D9"/>
          </w:tcPr>
          <w:p>
            <w:pPr>
              <w:jc w:val="center"/>
            </w:pPr>
            <w:r>
              <w:rPr>
                <w:b/>
                <w:color w:val="FFFFFF"/>
                <w:sz w:val="20"/>
              </w:rPr>
              <w:t>抽样框构建方式</w:t>
            </w:r>
          </w:p>
        </w:tc>
        <w:tc>
          <w:tcPr>
            <w:tcW w:type="dxa" w:w="2160"/>
            <w:shd w:val="clear" w:color="auto" w:fill="4A90D9"/>
          </w:tcPr>
          <w:p>
            <w:pPr>
              <w:jc w:val="center"/>
            </w:pPr>
            <w:r>
              <w:rPr>
                <w:b/>
                <w:color w:val="FFFFFF"/>
                <w:sz w:val="20"/>
              </w:rPr>
              <w:t>覆盖目标群体</w:t>
            </w:r>
          </w:p>
        </w:tc>
      </w:tr>
      <w:tr>
        <w:tc>
          <w:tcPr>
            <w:tcW w:type="dxa" w:w="1584"/>
          </w:tcPr>
          <w:p>
            <w:pPr>
              <w:jc w:val="center"/>
            </w:pPr>
            <w:r>
              <w:rPr>
                <w:sz w:val="19"/>
              </w:rPr>
              <w:t>线上-社交媒体</w:t>
            </w:r>
          </w:p>
        </w:tc>
        <w:tc>
          <w:tcPr>
            <w:tcW w:type="dxa" w:w="2160"/>
          </w:tcPr>
          <w:p>
            <w:pPr>
              <w:jc w:val="center"/>
            </w:pPr>
            <w:r>
              <w:rPr>
                <w:sz w:val="19"/>
              </w:rPr>
              <w:t>微博演唱会超话</w:t>
              <w:br/>
              <w:t>小红书观演笔记</w:t>
              <w:br/>
              <w:t>粉丝应援QQ群</w:t>
            </w:r>
          </w:p>
        </w:tc>
        <w:tc>
          <w:tcPr>
            <w:tcW w:type="dxa" w:w="2880"/>
          </w:tcPr>
          <w:p>
            <w:pPr>
              <w:jc w:val="center"/>
            </w:pPr>
            <w:r>
              <w:rPr>
                <w:sz w:val="19"/>
              </w:rPr>
              <w:t>关键词搜索帖子/用户列表</w:t>
              <w:br/>
              <w:t>通过粉丝群管理员合作</w:t>
              <w:br/>
              <w:t>发起讨论帖嵌入问卷</w:t>
            </w:r>
          </w:p>
        </w:tc>
        <w:tc>
          <w:tcPr>
            <w:tcW w:type="dxa" w:w="2160"/>
          </w:tcPr>
          <w:p>
            <w:pPr>
              <w:jc w:val="center"/>
            </w:pPr>
            <w:r>
              <w:rPr>
                <w:sz w:val="19"/>
              </w:rPr>
              <w:t>全国Z世代演唱</w:t>
              <w:br/>
              <w:t>会粉丝群体</w:t>
            </w:r>
          </w:p>
        </w:tc>
      </w:tr>
      <w:tr>
        <w:tc>
          <w:tcPr>
            <w:tcW w:type="dxa" w:w="1584"/>
          </w:tcPr>
          <w:p>
            <w:pPr>
              <w:jc w:val="center"/>
            </w:pPr>
            <w:r>
              <w:rPr>
                <w:sz w:val="19"/>
              </w:rPr>
              <w:t>线上-票务平台</w:t>
            </w:r>
          </w:p>
        </w:tc>
        <w:tc>
          <w:tcPr>
            <w:tcW w:type="dxa" w:w="2160"/>
          </w:tcPr>
          <w:p>
            <w:pPr>
              <w:jc w:val="center"/>
            </w:pPr>
            <w:r>
              <w:rPr>
                <w:sz w:val="19"/>
              </w:rPr>
              <w:t>大麦网、猫眼演出</w:t>
              <w:br/>
              <w:t>票星球</w:t>
            </w:r>
          </w:p>
        </w:tc>
        <w:tc>
          <w:tcPr>
            <w:tcW w:type="dxa" w:w="2880"/>
          </w:tcPr>
          <w:p>
            <w:pPr>
              <w:jc w:val="center"/>
            </w:pPr>
            <w:r>
              <w:rPr>
                <w:sz w:val="19"/>
              </w:rPr>
              <w:t>评论区问卷引流</w:t>
              <w:br/>
              <w:t>购票用户定向推送</w:t>
            </w:r>
          </w:p>
        </w:tc>
        <w:tc>
          <w:tcPr>
            <w:tcW w:type="dxa" w:w="2160"/>
          </w:tcPr>
          <w:p>
            <w:pPr>
              <w:jc w:val="center"/>
            </w:pPr>
            <w:r>
              <w:rPr>
                <w:sz w:val="19"/>
              </w:rPr>
              <w:t>有购票行为的</w:t>
              <w:br/>
              <w:t>演唱会消费者</w:t>
            </w:r>
          </w:p>
        </w:tc>
      </w:tr>
      <w:tr>
        <w:tc>
          <w:tcPr>
            <w:tcW w:type="dxa" w:w="1584"/>
          </w:tcPr>
          <w:p>
            <w:pPr>
              <w:jc w:val="center"/>
            </w:pPr>
            <w:r>
              <w:rPr>
                <w:sz w:val="19"/>
              </w:rPr>
              <w:t>线上-官方账号</w:t>
            </w:r>
          </w:p>
        </w:tc>
        <w:tc>
          <w:tcPr>
            <w:tcW w:type="dxa" w:w="2160"/>
          </w:tcPr>
          <w:p>
            <w:pPr>
              <w:jc w:val="center"/>
            </w:pPr>
            <w:r>
              <w:rPr>
                <w:sz w:val="19"/>
              </w:rPr>
              <w:t>偶像/乐队官方</w:t>
              <w:br/>
              <w:t>微博、抖音</w:t>
            </w:r>
          </w:p>
        </w:tc>
        <w:tc>
          <w:tcPr>
            <w:tcW w:type="dxa" w:w="2880"/>
          </w:tcPr>
          <w:p>
            <w:pPr>
              <w:jc w:val="center"/>
            </w:pPr>
            <w:r>
              <w:rPr>
                <w:sz w:val="19"/>
              </w:rPr>
              <w:t>官方账号粉丝列表</w:t>
              <w:br/>
              <w:t>转发问卷</w:t>
            </w:r>
          </w:p>
        </w:tc>
        <w:tc>
          <w:tcPr>
            <w:tcW w:type="dxa" w:w="2160"/>
          </w:tcPr>
          <w:p>
            <w:pPr>
              <w:jc w:val="center"/>
            </w:pPr>
            <w:r>
              <w:rPr>
                <w:sz w:val="19"/>
              </w:rPr>
              <w:t>Z世代核心粉丝</w:t>
              <w:br/>
              <w:t>（深度用户）</w:t>
            </w:r>
          </w:p>
        </w:tc>
      </w:tr>
      <w:tr>
        <w:tc>
          <w:tcPr>
            <w:tcW w:type="dxa" w:w="1584"/>
          </w:tcPr>
          <w:p>
            <w:pPr>
              <w:jc w:val="center"/>
            </w:pPr>
            <w:r>
              <w:rPr>
                <w:sz w:val="19"/>
              </w:rPr>
              <w:t>线下-演唱会现场</w:t>
            </w:r>
          </w:p>
        </w:tc>
        <w:tc>
          <w:tcPr>
            <w:tcW w:type="dxa" w:w="2160"/>
          </w:tcPr>
          <w:p>
            <w:pPr>
              <w:jc w:val="center"/>
            </w:pPr>
            <w:r>
              <w:rPr>
                <w:sz w:val="19"/>
              </w:rPr>
              <w:t>天津奥体中心</w:t>
              <w:br/>
              <w:t>天津体育馆</w:t>
            </w:r>
          </w:p>
        </w:tc>
        <w:tc>
          <w:tcPr>
            <w:tcW w:type="dxa" w:w="2880"/>
          </w:tcPr>
          <w:p>
            <w:pPr>
              <w:jc w:val="center"/>
            </w:pPr>
            <w:r>
              <w:rPr>
                <w:sz w:val="19"/>
              </w:rPr>
              <w:t>散场后出口系统拦截</w:t>
              <w:br/>
              <w:t>（每10人抽1人）</w:t>
            </w:r>
          </w:p>
        </w:tc>
        <w:tc>
          <w:tcPr>
            <w:tcW w:type="dxa" w:w="2160"/>
          </w:tcPr>
          <w:p>
            <w:pPr>
              <w:jc w:val="center"/>
            </w:pPr>
            <w:r>
              <w:rPr>
                <w:sz w:val="19"/>
              </w:rPr>
              <w:t>实地观演人群</w:t>
              <w:br/>
              <w:t>（本地+外地来津）</w:t>
            </w:r>
          </w:p>
        </w:tc>
      </w:tr>
      <w:tr>
        <w:tc>
          <w:tcPr>
            <w:tcW w:type="dxa" w:w="1584"/>
          </w:tcPr>
          <w:p>
            <w:pPr>
              <w:jc w:val="center"/>
            </w:pPr>
            <w:r>
              <w:rPr>
                <w:sz w:val="19"/>
              </w:rPr>
              <w:t>线下-周边场所</w:t>
            </w:r>
          </w:p>
        </w:tc>
        <w:tc>
          <w:tcPr>
            <w:tcW w:type="dxa" w:w="2160"/>
          </w:tcPr>
          <w:p>
            <w:pPr>
              <w:jc w:val="center"/>
            </w:pPr>
            <w:r>
              <w:rPr>
                <w:sz w:val="19"/>
              </w:rPr>
              <w:t>演唱会周边商店</w:t>
              <w:br/>
              <w:t>文创店/周边小摊</w:t>
            </w:r>
          </w:p>
        </w:tc>
        <w:tc>
          <w:tcPr>
            <w:tcW w:type="dxa" w:w="2880"/>
          </w:tcPr>
          <w:p>
            <w:pPr>
              <w:jc w:val="center"/>
            </w:pPr>
            <w:r>
              <w:rPr>
                <w:sz w:val="19"/>
              </w:rPr>
              <w:t>便利抽样</w:t>
            </w:r>
          </w:p>
        </w:tc>
        <w:tc>
          <w:tcPr>
            <w:tcW w:type="dxa" w:w="2160"/>
          </w:tcPr>
          <w:p>
            <w:pPr>
              <w:jc w:val="center"/>
            </w:pPr>
            <w:r>
              <w:rPr>
                <w:sz w:val="19"/>
              </w:rPr>
              <w:t>观演后延伸</w:t>
              <w:br/>
              <w:t>消费行为群体</w:t>
            </w:r>
          </w:p>
        </w:tc>
      </w:tr>
    </w:tbl>
    <w:p w14:paraId="097D12AF">
      <w:pPr>
        <w:pStyle w:val="3"/>
        <w:spacing w:before="16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四、偏差控制与事后加权修正</w:t>
      </w:r>
    </w:p>
    <w:p w14:paraId="5EB9AA9E">
      <w:pPr>
        <w:pStyle w:val="4"/>
        <w:spacing w:before="100" w:after="60"/>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（一）无回答偏差检验</w:t>
      </w:r>
    </w:p>
    <w:p w14:paraId="6C512AC0">
      <w:pPr>
        <w:spacing w:before="0" w:after="100"/>
        <w:ind w:firstLine="420"/>
      </w:pPr>
      <w:r>
        <w:rPr>
          <w:sz w:val="22"/>
        </w:rPr>
        <w:t>采用时序检验法（Armstrong &amp; Overton, 1977）：将问卷回收按时间排序，以前25%（早期回答者）与后25%（晚期回答者）作为代理组，对性别、年龄、观演频率等关键人口学变量进行独立样本t检验。若两组差异不显著（p &gt; 0.05），则认为无回答偏差在可接受范围内；若存在显著差异，则在后续分析中对人口学偏差进行统计控制。</w:t>
      </w:r>
    </w:p>
    <w:p w14:paraId="426DDAE1">
      <w:pPr>
        <w:pStyle w:val="4"/>
        <w:spacing w:before="100" w:after="60"/>
        <w:rPr>
          <w:rFonts w:hint="eastAsia" w:ascii="宋体" w:hAnsi="宋体" w:eastAsia="宋体" w:cs="宋体"/>
          <w:b/>
          <w:color w:val="000000" w:themeColor="text1"/>
          <w:sz w:val="24"/>
          <w:szCs w:val="24"/>
          <w14:textFill>
            <w14:solidFill>
              <w14:schemeClr w14:val="tx1"/>
            </w14:solidFill>
          </w14:textFill>
        </w:rPr>
      </w:pPr>
      <w:bookmarkStart w:id="0" w:name="_GoBack"/>
      <w:r>
        <w:rPr>
          <w:rFonts w:hint="eastAsia" w:ascii="宋体" w:hAnsi="宋体" w:eastAsia="宋体" w:cs="宋体"/>
          <w:b/>
          <w:color w:val="000000" w:themeColor="text1"/>
          <w:sz w:val="24"/>
          <w:szCs w:val="24"/>
          <w14:textFill>
            <w14:solidFill>
              <w14:schemeClr w14:val="tx1"/>
            </w14:solidFill>
          </w14:textFill>
        </w:rPr>
        <w:t>（二）事后分层加权（Post-stratification Weighting）</w:t>
      </w:r>
    </w:p>
    <w:bookmarkEnd w:id="0"/>
    <w:p w14:paraId="4F6D416D">
      <w:pPr>
        <w:spacing w:before="0" w:after="100"/>
        <w:ind w:firstLine="420"/>
      </w:pPr>
      <w:r>
        <w:rPr>
          <w:sz w:val="22"/>
        </w:rPr>
        <w:t>正式样本回收后，以"地域（天津/外地）× 性别（男/女）× 年龄段（三组）"构建2×2×3 = 12个加权格，参照演唱会实际观众人口结构（来源：中国演出行业协会历年大型演唱会观众画像报告）计算各格的真实比例，以加权系数 w_k 修正样本偏差：</w:t>
      </w:r>
    </w:p>
    <w:p w14:paraId="2FA19AFA">
      <w:pPr>
        <w:ind w:firstLine="420"/>
      </w:pPr>
      <w:r>
        <w:rPr>
          <w:sz w:val="22"/>
        </w:rPr>
        <w:t>wₖ  =  Nₖ / nₖ    （其中 Nₖ 为第 k 格的总体真实比例，nₖ 为样本中第 k 格的实际占比）</w:t>
      </w:r>
    </w:p>
    <w:p w14:paraId="393F7E11">
      <w:pPr>
        <w:spacing w:before="0" w:after="100"/>
        <w:ind w:firstLine="420"/>
        <w:rPr>
          <w:sz w:val="22"/>
        </w:rPr>
      </w:pPr>
      <w:r>
        <w:rPr>
          <w:sz w:val="22"/>
        </w:rPr>
        <w:t>加权后的样本将用于SEM路径分析与DCM效用估计，以确保分析结论对Z世代演唱会消费群体总体具有统计推断意义。</w:t>
      </w:r>
    </w:p>
    <w:p w14:paraId="54CB37F3">
      <w:pPr>
        <w:spacing w:before="0" w:after="100"/>
        <w:ind w:firstLine="420"/>
        <w:rPr>
          <w:sz w:val="22"/>
        </w:rPr>
      </w:pPr>
    </w:p>
    <w:p w14:paraId="6AD9A370">
      <w:pPr>
        <w:spacing w:before="0" w:after="100"/>
        <w:ind w:firstLine="420"/>
        <w:rPr>
          <w:sz w:val="22"/>
        </w:rPr>
      </w:pPr>
    </w:p>
    <w:p w14:paraId="33DA38B1">
      <w:pPr>
        <w:pStyle w:val="3"/>
        <w:spacing w:before="180" w:after="80"/>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七、质量控制与信效度检验</w:t>
      </w:r>
    </w:p>
    <w:p w14:paraId="5DAD2AE1">
      <w:pPr>
        <w:spacing w:before="0" w:after="100"/>
        <w:ind w:firstLine="420"/>
      </w:pPr>
      <w:r>
        <w:rPr>
          <w:sz w:val="22"/>
        </w:rPr>
        <w:t>本研究从误差控制与测量质量两个层面保障调查数据的有效性。抽样误差通过多阶段分层设计与合理样本量加以控制（详见第三章）；非抽样误差的主要来源及处置方式如下：（1）抽样框误差——线上采用多平台交叉投放，线下通过配额控制人口结构，减少覆盖偏差；（2）无回答误差——设置注意力检验题，对缺失率超过10%的问卷进行删除，并通过时序分析（早/晚回答者对比）检验无回答偏差；（3）测量误差——采用双盲预调查修订歧义题项，正式发放前经过两轮专家审核。</w:t>
      </w:r>
    </w:p>
    <w:p w14:paraId="12058D8E">
      <w:pPr>
        <w:spacing w:before="0" w:after="100"/>
        <w:ind w:firstLine="420"/>
      </w:pPr>
      <w:r>
        <w:rPr>
          <w:sz w:val="22"/>
        </w:rPr>
        <w:t>在获得正式样本后，将依次开展以下信效度检验：</w:t>
      </w:r>
    </w:p>
    <w:p w14:paraId="501A1B2D">
      <w:pPr>
        <w:spacing w:before="40" w:after="160"/>
        <w:jc w:val="center"/>
      </w:pPr>
      <w:r>
        <w:rPr>
          <w:i/>
        </w:rPr>
        <w:t>表5  信效度检验指标体系</w:t>
      </w:r>
    </w:p>
    <w:tbl>
      <w:tblPr>
        <w:tblW w:type="auto" w:w="0"/>
        <w:jc w:val="center"/>
        <w:tblLook w:firstColumn="1" w:firstRow="1" w:lastColumn="0" w:lastRow="0" w:noHBand="0" w:noVBand="1" w:val="04A0"/>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Pr>
      <w:tblGrid>
        <w:gridCol w:w="1661"/>
        <w:gridCol w:w="1661"/>
        <w:gridCol w:w="1661"/>
        <w:gridCol w:w="1661"/>
        <w:gridCol w:w="1661"/>
      </w:tblGrid>
      <w:tr>
        <w:tc>
          <w:tcPr>
            <w:tcW w:type="dxa" w:w="1440"/>
            <w:shd w:val="clear" w:color="auto" w:fill="2E4057"/>
          </w:tcPr>
          <w:p>
            <w:pPr>
              <w:jc w:val="center"/>
            </w:pPr>
            <w:r>
              <w:rPr>
                <w:b/>
                <w:color w:val="FFFFFF"/>
                <w:sz w:val="20"/>
              </w:rPr>
              <w:t>检验类型</w:t>
            </w:r>
          </w:p>
        </w:tc>
        <w:tc>
          <w:tcPr>
            <w:tcW w:type="dxa" w:w="2016"/>
            <w:shd w:val="clear" w:color="auto" w:fill="2E4057"/>
          </w:tcPr>
          <w:p>
            <w:pPr>
              <w:jc w:val="center"/>
            </w:pPr>
            <w:r>
              <w:rPr>
                <w:b/>
                <w:color w:val="FFFFFF"/>
                <w:sz w:val="20"/>
              </w:rPr>
              <w:t>指标名称</w:t>
            </w:r>
          </w:p>
        </w:tc>
        <w:tc>
          <w:tcPr>
            <w:tcW w:type="dxa" w:w="2448"/>
            <w:shd w:val="clear" w:color="auto" w:fill="2E4057"/>
          </w:tcPr>
          <w:p>
            <w:pPr>
              <w:jc w:val="center"/>
            </w:pPr>
            <w:r>
              <w:rPr>
                <w:b/>
                <w:color w:val="FFFFFF"/>
                <w:sz w:val="20"/>
              </w:rPr>
              <w:t>计算/判断方式</w:t>
            </w:r>
          </w:p>
        </w:tc>
        <w:tc>
          <w:tcPr>
            <w:tcW w:type="dxa" w:w="1728"/>
            <w:shd w:val="clear" w:color="auto" w:fill="2E4057"/>
          </w:tcPr>
          <w:p>
            <w:pPr>
              <w:jc w:val="center"/>
            </w:pPr>
            <w:r>
              <w:rPr>
                <w:b/>
                <w:color w:val="FFFFFF"/>
                <w:sz w:val="20"/>
              </w:rPr>
              <w:t>参考标准</w:t>
            </w:r>
          </w:p>
        </w:tc>
        <w:tc>
          <w:tcPr>
            <w:tcW w:type="dxa" w:w="2016"/>
            <w:shd w:val="clear" w:color="auto" w:fill="2E4057"/>
          </w:tcPr>
          <w:p>
            <w:pPr>
              <w:jc w:val="center"/>
            </w:pPr>
            <w:r>
              <w:rPr>
                <w:b/>
                <w:color w:val="FFFFFF"/>
                <w:sz w:val="20"/>
              </w:rPr>
              <w:t>判定依据</w:t>
            </w:r>
          </w:p>
        </w:tc>
      </w:tr>
      <w:tr>
        <w:tc>
          <w:tcPr>
            <w:tcW w:type="dxa" w:w="1440"/>
          </w:tcPr>
          <w:p>
            <w:pPr>
              <w:jc w:val="center"/>
            </w:pPr>
            <w:r>
              <w:rPr>
                <w:sz w:val="19"/>
              </w:rPr>
              <w:t>内部一致性信度</w:t>
            </w:r>
          </w:p>
        </w:tc>
        <w:tc>
          <w:tcPr>
            <w:tcW w:type="dxa" w:w="2016"/>
          </w:tcPr>
          <w:p>
            <w:pPr>
              <w:jc w:val="center"/>
            </w:pPr>
            <w:r>
              <w:rPr>
                <w:sz w:val="19"/>
              </w:rPr>
              <w:t>Cronbach's α</w:t>
            </w:r>
          </w:p>
        </w:tc>
        <w:tc>
          <w:tcPr>
            <w:tcW w:type="dxa" w:w="2448"/>
          </w:tcPr>
          <w:p>
            <w:pPr>
              <w:jc w:val="center"/>
            </w:pPr>
            <w:r>
              <w:rPr>
                <w:sz w:val="19"/>
              </w:rPr>
              <w:t>α=k/(k-1)×(1-Σσi²/σt²)</w:t>
            </w:r>
          </w:p>
        </w:tc>
        <w:tc>
          <w:tcPr>
            <w:tcW w:type="dxa" w:w="1728"/>
          </w:tcPr>
          <w:p>
            <w:pPr>
              <w:jc w:val="center"/>
            </w:pPr>
            <w:r>
              <w:rPr>
                <w:sz w:val="19"/>
              </w:rPr>
              <w:t>≥ 0.70</w:t>
            </w:r>
          </w:p>
        </w:tc>
        <w:tc>
          <w:tcPr>
            <w:tcW w:type="dxa" w:w="2016"/>
          </w:tcPr>
          <w:p>
            <w:pPr>
              <w:jc w:val="center"/>
            </w:pPr>
            <w:r>
              <w:rPr>
                <w:sz w:val="19"/>
              </w:rPr>
              <w:t>Nunnally(1978)</w:t>
            </w:r>
          </w:p>
        </w:tc>
      </w:tr>
      <w:tr>
        <w:tc>
          <w:tcPr>
            <w:tcW w:type="dxa" w:w="1440"/>
          </w:tcPr>
          <w:p>
            <w:pPr>
              <w:jc w:val="center"/>
            </w:pPr>
            <w:r>
              <w:rPr>
                <w:sz w:val="19"/>
              </w:rPr>
              <w:t>组合信度</w:t>
            </w:r>
          </w:p>
        </w:tc>
        <w:tc>
          <w:tcPr>
            <w:tcW w:type="dxa" w:w="2016"/>
          </w:tcPr>
          <w:p>
            <w:pPr>
              <w:jc w:val="center"/>
            </w:pPr>
            <w:r>
              <w:rPr>
                <w:sz w:val="19"/>
              </w:rPr>
              <w:t>CR（Composite Reliability）</w:t>
            </w:r>
          </w:p>
        </w:tc>
        <w:tc>
          <w:tcPr>
            <w:tcW w:type="dxa" w:w="2448"/>
          </w:tcPr>
          <w:p>
            <w:pPr>
              <w:jc w:val="center"/>
            </w:pPr>
            <w:r>
              <w:rPr>
                <w:sz w:val="19"/>
              </w:rPr>
              <w:t>CR=(Σλ)²/[(Σλ)²+Σ(1-λ²)]</w:t>
            </w:r>
          </w:p>
        </w:tc>
        <w:tc>
          <w:tcPr>
            <w:tcW w:type="dxa" w:w="1728"/>
          </w:tcPr>
          <w:p>
            <w:pPr>
              <w:jc w:val="center"/>
            </w:pPr>
            <w:r>
              <w:rPr>
                <w:sz w:val="19"/>
              </w:rPr>
              <w:t>≥ 0.70</w:t>
            </w:r>
          </w:p>
        </w:tc>
        <w:tc>
          <w:tcPr>
            <w:tcW w:type="dxa" w:w="2016"/>
          </w:tcPr>
          <w:p>
            <w:pPr>
              <w:jc w:val="center"/>
            </w:pPr>
            <w:r>
              <w:rPr>
                <w:sz w:val="19"/>
              </w:rPr>
              <w:t>Hair et al.(2019)</w:t>
            </w:r>
          </w:p>
        </w:tc>
      </w:tr>
      <w:tr>
        <w:tc>
          <w:tcPr>
            <w:tcW w:type="dxa" w:w="1440"/>
          </w:tcPr>
          <w:p>
            <w:pPr>
              <w:jc w:val="center"/>
            </w:pPr>
            <w:r>
              <w:rPr>
                <w:sz w:val="19"/>
              </w:rPr>
              <w:t>收敛效度</w:t>
            </w:r>
          </w:p>
        </w:tc>
        <w:tc>
          <w:tcPr>
            <w:tcW w:type="dxa" w:w="2016"/>
          </w:tcPr>
          <w:p>
            <w:pPr>
              <w:jc w:val="center"/>
            </w:pPr>
            <w:r>
              <w:rPr>
                <w:sz w:val="19"/>
              </w:rPr>
              <w:t>AVE（平均方差提取量）</w:t>
            </w:r>
          </w:p>
        </w:tc>
        <w:tc>
          <w:tcPr>
            <w:tcW w:type="dxa" w:w="2448"/>
          </w:tcPr>
          <w:p>
            <w:pPr>
              <w:jc w:val="center"/>
            </w:pPr>
            <w:r>
              <w:rPr>
                <w:sz w:val="19"/>
              </w:rPr>
              <w:t>AVE=mean(λ²)</w:t>
            </w:r>
          </w:p>
        </w:tc>
        <w:tc>
          <w:tcPr>
            <w:tcW w:type="dxa" w:w="1728"/>
          </w:tcPr>
          <w:p>
            <w:pPr>
              <w:jc w:val="center"/>
            </w:pPr>
            <w:r>
              <w:rPr>
                <w:sz w:val="19"/>
              </w:rPr>
              <w:t>≥ 0.50</w:t>
            </w:r>
          </w:p>
        </w:tc>
        <w:tc>
          <w:tcPr>
            <w:tcW w:type="dxa" w:w="2016"/>
          </w:tcPr>
          <w:p>
            <w:pPr>
              <w:jc w:val="center"/>
            </w:pPr>
            <w:r>
              <w:rPr>
                <w:sz w:val="19"/>
              </w:rPr>
              <w:t>Fornell &amp; Larcker(1981)</w:t>
            </w:r>
          </w:p>
        </w:tc>
      </w:tr>
      <w:tr>
        <w:tc>
          <w:tcPr>
            <w:tcW w:type="dxa" w:w="1440"/>
          </w:tcPr>
          <w:p>
            <w:pPr>
              <w:jc w:val="center"/>
            </w:pPr>
            <w:r>
              <w:rPr>
                <w:sz w:val="19"/>
              </w:rPr>
              <w:t>收敛效度</w:t>
            </w:r>
          </w:p>
        </w:tc>
        <w:tc>
          <w:tcPr>
            <w:tcW w:type="dxa" w:w="2016"/>
          </w:tcPr>
          <w:p>
            <w:pPr>
              <w:jc w:val="center"/>
            </w:pPr>
            <w:r>
              <w:rPr>
                <w:sz w:val="19"/>
              </w:rPr>
              <w:t>标准化因子载荷</w:t>
            </w:r>
          </w:p>
        </w:tc>
        <w:tc>
          <w:tcPr>
            <w:tcW w:type="dxa" w:w="2448"/>
          </w:tcPr>
          <w:p>
            <w:pPr>
              <w:jc w:val="center"/>
            </w:pPr>
            <w:r>
              <w:rPr>
                <w:sz w:val="19"/>
              </w:rPr>
              <w:t>CFA路径系数（标准化）</w:t>
            </w:r>
          </w:p>
        </w:tc>
        <w:tc>
          <w:tcPr>
            <w:tcW w:type="dxa" w:w="1728"/>
          </w:tcPr>
          <w:p>
            <w:pPr>
              <w:jc w:val="center"/>
            </w:pPr>
            <w:r>
              <w:rPr>
                <w:sz w:val="19"/>
              </w:rPr>
              <w:t>≥ 0.50，p&lt;0.05</w:t>
            </w:r>
          </w:p>
        </w:tc>
        <w:tc>
          <w:tcPr>
            <w:tcW w:type="dxa" w:w="2016"/>
          </w:tcPr>
          <w:p>
            <w:pPr>
              <w:jc w:val="center"/>
            </w:pPr>
            <w:r>
              <w:rPr>
                <w:sz w:val="19"/>
              </w:rPr>
              <w:t>Anderson &amp; Gerbing(1988)</w:t>
            </w:r>
          </w:p>
        </w:tc>
      </w:tr>
      <w:tr>
        <w:tc>
          <w:tcPr>
            <w:tcW w:type="dxa" w:w="1440"/>
          </w:tcPr>
          <w:p>
            <w:pPr>
              <w:jc w:val="center"/>
            </w:pPr>
            <w:r>
              <w:rPr>
                <w:sz w:val="19"/>
              </w:rPr>
              <w:t>区分效度</w:t>
            </w:r>
          </w:p>
        </w:tc>
        <w:tc>
          <w:tcPr>
            <w:tcW w:type="dxa" w:w="2016"/>
          </w:tcPr>
          <w:p>
            <w:pPr>
              <w:jc w:val="center"/>
            </w:pPr>
            <w:r>
              <w:rPr>
                <w:sz w:val="19"/>
              </w:rPr>
              <w:t>Fornell-Larcker准则</w:t>
            </w:r>
          </w:p>
        </w:tc>
        <w:tc>
          <w:tcPr>
            <w:tcW w:type="dxa" w:w="2448"/>
          </w:tcPr>
          <w:p>
            <w:pPr>
              <w:jc w:val="center"/>
            </w:pPr>
            <w:r>
              <w:rPr>
                <w:sz w:val="19"/>
              </w:rPr>
              <w:t>√AVE &gt; 最大两两构念相关系数</w:t>
            </w:r>
          </w:p>
        </w:tc>
        <w:tc>
          <w:tcPr>
            <w:tcW w:type="dxa" w:w="1728"/>
          </w:tcPr>
          <w:p>
            <w:pPr>
              <w:jc w:val="center"/>
            </w:pPr>
            <w:r>
              <w:rPr>
                <w:sz w:val="19"/>
              </w:rPr>
              <w:t>各构念√AVE均高于相关系数</w:t>
            </w:r>
          </w:p>
        </w:tc>
        <w:tc>
          <w:tcPr>
            <w:tcW w:type="dxa" w:w="2016"/>
          </w:tcPr>
          <w:p>
            <w:pPr>
              <w:jc w:val="center"/>
            </w:pPr>
            <w:r>
              <w:rPr>
                <w:sz w:val="19"/>
              </w:rPr>
              <w:t>Fornell &amp; Larcker(1981)</w:t>
            </w:r>
          </w:p>
        </w:tc>
      </w:tr>
      <w:tr>
        <w:tc>
          <w:tcPr>
            <w:tcW w:type="dxa" w:w="1440"/>
          </w:tcPr>
          <w:p>
            <w:pPr>
              <w:jc w:val="center"/>
            </w:pPr>
            <w:r>
              <w:rPr>
                <w:sz w:val="19"/>
              </w:rPr>
              <w:t>结构效度</w:t>
            </w:r>
          </w:p>
        </w:tc>
        <w:tc>
          <w:tcPr>
            <w:tcW w:type="dxa" w:w="2016"/>
          </w:tcPr>
          <w:p>
            <w:pPr>
              <w:jc w:val="center"/>
            </w:pPr>
            <w:r>
              <w:rPr>
                <w:sz w:val="19"/>
              </w:rPr>
              <w:t>KMO取样充分性</w:t>
            </w:r>
          </w:p>
        </w:tc>
        <w:tc>
          <w:tcPr>
            <w:tcW w:type="dxa" w:w="2448"/>
          </w:tcPr>
          <w:p>
            <w:pPr>
              <w:jc w:val="center"/>
            </w:pPr>
            <w:r>
              <w:rPr>
                <w:sz w:val="19"/>
              </w:rPr>
              <w:t>矩阵行列式与相关矩阵行列式之比</w:t>
            </w:r>
          </w:p>
        </w:tc>
        <w:tc>
          <w:tcPr>
            <w:tcW w:type="dxa" w:w="1728"/>
          </w:tcPr>
          <w:p>
            <w:pPr>
              <w:jc w:val="center"/>
            </w:pPr>
            <w:r>
              <w:rPr>
                <w:sz w:val="19"/>
              </w:rPr>
              <w:t>≥ 0.70</w:t>
            </w:r>
          </w:p>
        </w:tc>
        <w:tc>
          <w:tcPr>
            <w:tcW w:type="dxa" w:w="2016"/>
          </w:tcPr>
          <w:p>
            <w:pPr>
              <w:jc w:val="center"/>
            </w:pPr>
            <w:r>
              <w:rPr>
                <w:sz w:val="19"/>
              </w:rPr>
              <w:t>Kaiser(1974)</w:t>
            </w:r>
          </w:p>
        </w:tc>
      </w:tr>
      <w:tr>
        <w:tc>
          <w:tcPr>
            <w:tcW w:type="dxa" w:w="1440"/>
          </w:tcPr>
          <w:p>
            <w:pPr>
              <w:jc w:val="center"/>
            </w:pPr>
            <w:r>
              <w:rPr>
                <w:sz w:val="19"/>
              </w:rPr>
              <w:t>结构效度</w:t>
            </w:r>
          </w:p>
        </w:tc>
        <w:tc>
          <w:tcPr>
            <w:tcW w:type="dxa" w:w="2016"/>
          </w:tcPr>
          <w:p>
            <w:pPr>
              <w:jc w:val="center"/>
            </w:pPr>
            <w:r>
              <w:rPr>
                <w:sz w:val="19"/>
              </w:rPr>
              <w:t>Bartlett球型检验</w:t>
            </w:r>
          </w:p>
        </w:tc>
        <w:tc>
          <w:tcPr>
            <w:tcW w:type="dxa" w:w="2448"/>
          </w:tcPr>
          <w:p>
            <w:pPr>
              <w:jc w:val="center"/>
            </w:pPr>
            <w:r>
              <w:rPr>
                <w:sz w:val="19"/>
              </w:rPr>
              <w:t>χ²检验相关矩阵非单位阵</w:t>
            </w:r>
          </w:p>
        </w:tc>
        <w:tc>
          <w:tcPr>
            <w:tcW w:type="dxa" w:w="1728"/>
          </w:tcPr>
          <w:p>
            <w:pPr>
              <w:jc w:val="center"/>
            </w:pPr>
            <w:r>
              <w:rPr>
                <w:sz w:val="19"/>
              </w:rPr>
              <w:t>p &lt; 0.05</w:t>
            </w:r>
          </w:p>
        </w:tc>
        <w:tc>
          <w:tcPr>
            <w:tcW w:type="dxa" w:w="2016"/>
          </w:tcPr>
          <w:p>
            <w:pPr>
              <w:jc w:val="center"/>
            </w:pPr>
            <w:r>
              <w:rPr>
                <w:sz w:val="19"/>
              </w:rPr>
              <w:t>Bartlett(1954)</w:t>
            </w:r>
          </w:p>
        </w:tc>
      </w:tr>
    </w:tbl>
    <w:p w14:paraId="6F61E208">
      <w:pPr>
        <w:spacing w:before="0" w:after="100"/>
        <w:ind w:firstLine="420"/>
        <w:rPr>
          <w:sz w:val="22"/>
        </w:rPr>
      </w:pPr>
    </w:p>
    <w:p>
      <w:pPr>
        <w:pStyle w:val="2"/>
      </w:pPr>
      <w:r>
        <w:rPr>
          <w:sz w:val="32"/>
        </w:rPr>
        <w:t>第五章  描述性统计分析</w:t>
      </w:r>
    </w:p>
    <w:p>
      <w:pPr>
        <w:ind w:firstLine="480"/>
      </w:pPr>
      <w:r>
        <w:rPr>
          <w:sz w:val="22"/>
        </w:rPr>
        <w:t>本章基于300份有效问卷（survey_300_clean.csv，较第一轮214份新增86份），依次从质量控制与信效度检验、样本基本特征、观演行为与消费特征、量表维度得分及交叉群体差异五个层次展开描述性统计分析，并对比前一轮数据，标注结论的变动情况。</w:t>
      </w:r>
    </w:p>
    <w:p>
      <w:pPr>
        <w:pStyle w:val="3"/>
      </w:pPr>
      <w:r>
        <w:rPr>
          <w:sz w:val="28"/>
        </w:rPr>
        <w:t>零、质量控制与信效度检验</w:t>
      </w:r>
    </w:p>
    <w:p>
      <w:pPr>
        <w:ind w:firstLine="480"/>
      </w:pPr>
      <w:r>
        <w:rPr>
          <w:sz w:val="22"/>
        </w:rPr>
        <w:t>本批300份数据已完成标准化清洗（Qualtrics导出后去除IP重复、作答时长&lt;120秒及连续相同答案问卷），无效问卷剔除率约8.6%。KMO=0.883，Bartlett球型检验χ²显著（p&lt;0.001），结构效度良好。</w:t>
      </w:r>
    </w:p>
    <w:p>
      <w:pPr>
        <w:jc w:val="center"/>
      </w:pPr>
      <w:r>
        <w:rPr>
          <w:b/>
          <w:color w:val="444444"/>
          <w:sz w:val="21"/>
        </w:rPr>
        <w:t>表1  九大构念信度与效度检验结果（N=300）</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1661"/>
        <w:gridCol w:w="1661"/>
        <w:gridCol w:w="1661"/>
        <w:gridCol w:w="1661"/>
        <w:gridCol w:w="1661"/>
      </w:tblGrid>
      <w:tr>
        <w:tc>
          <w:tcPr>
            <w:tcW w:type="dxa" w:w="864"/>
          </w:tcPr>
          <w:p>
            <w:pPr>
              <w:jc w:val="center"/>
            </w:pPr>
            <w:r>
              <w:rPr>
                <w:b/>
                <w:sz w:val="20"/>
              </w:rPr>
              <w:t>构念</w:t>
            </w:r>
          </w:p>
        </w:tc>
        <w:tc>
          <w:tcPr>
            <w:tcW w:type="dxa" w:w="2160"/>
          </w:tcPr>
          <w:p>
            <w:pPr>
              <w:jc w:val="center"/>
            </w:pPr>
            <w:r>
              <w:rPr>
                <w:b/>
                <w:sz w:val="20"/>
              </w:rPr>
              <w:t>全称</w:t>
            </w:r>
          </w:p>
        </w:tc>
        <w:tc>
          <w:tcPr>
            <w:tcW w:type="dxa" w:w="1584"/>
          </w:tcPr>
          <w:p>
            <w:pPr>
              <w:jc w:val="center"/>
            </w:pPr>
            <w:r>
              <w:rPr>
                <w:b/>
                <w:sz w:val="20"/>
              </w:rPr>
              <w:t>Cronbach α</w:t>
            </w:r>
          </w:p>
        </w:tc>
        <w:tc>
          <w:tcPr>
            <w:tcW w:type="dxa" w:w="1296"/>
          </w:tcPr>
          <w:p>
            <w:pPr>
              <w:jc w:val="center"/>
            </w:pPr>
            <w:r>
              <w:rPr>
                <w:b/>
                <w:sz w:val="20"/>
              </w:rPr>
              <w:t>AVE</w:t>
            </w:r>
          </w:p>
        </w:tc>
        <w:tc>
          <w:tcPr>
            <w:tcW w:type="dxa" w:w="1296"/>
          </w:tcPr>
          <w:p>
            <w:pPr>
              <w:jc w:val="center"/>
            </w:pPr>
            <w:r>
              <w:rPr>
                <w:b/>
                <w:sz w:val="20"/>
              </w:rPr>
              <w:t>CR</w:t>
            </w:r>
          </w:p>
        </w:tc>
      </w:tr>
      <w:tr>
        <w:tc>
          <w:tcPr>
            <w:tcW w:type="dxa" w:w="864"/>
          </w:tcPr>
          <w:p>
            <w:pPr>
              <w:jc w:val="center"/>
            </w:pPr>
            <w:r>
              <w:rPr>
                <w:sz w:val="20"/>
              </w:rPr>
              <w:t>SMI</w:t>
            </w:r>
          </w:p>
        </w:tc>
        <w:tc>
          <w:tcPr>
            <w:tcW w:type="dxa" w:w="2160"/>
          </w:tcPr>
          <w:p>
            <w:pPr>
              <w:jc w:val="center"/>
            </w:pPr>
            <w:r>
              <w:rPr>
                <w:sz w:val="20"/>
              </w:rPr>
              <w:t>社交媒体信息影响</w:t>
            </w:r>
          </w:p>
        </w:tc>
        <w:tc>
          <w:tcPr>
            <w:tcW w:type="dxa" w:w="1584"/>
          </w:tcPr>
          <w:p>
            <w:pPr>
              <w:jc w:val="center"/>
            </w:pPr>
            <w:r>
              <w:rPr>
                <w:sz w:val="20"/>
              </w:rPr>
              <w:t>0.898✓</w:t>
            </w:r>
          </w:p>
        </w:tc>
        <w:tc>
          <w:tcPr>
            <w:tcW w:type="dxa" w:w="1296"/>
          </w:tcPr>
          <w:p>
            <w:pPr>
              <w:jc w:val="center"/>
            </w:pPr>
            <w:r>
              <w:rPr>
                <w:sz w:val="20"/>
              </w:rPr>
              <w:t>0.847✓</w:t>
            </w:r>
          </w:p>
        </w:tc>
        <w:tc>
          <w:tcPr>
            <w:tcW w:type="dxa" w:w="1296"/>
          </w:tcPr>
          <w:p>
            <w:pPr>
              <w:jc w:val="center"/>
            </w:pPr>
            <w:r>
              <w:rPr>
                <w:sz w:val="20"/>
              </w:rPr>
              <w:t>0.943✓</w:t>
            </w:r>
          </w:p>
        </w:tc>
      </w:tr>
      <w:tr>
        <w:tc>
          <w:tcPr>
            <w:tcW w:type="dxa" w:w="864"/>
          </w:tcPr>
          <w:p>
            <w:pPr>
              <w:jc w:val="center"/>
            </w:pPr>
            <w:r>
              <w:rPr>
                <w:sz w:val="20"/>
              </w:rPr>
              <w:t>PSR</w:t>
            </w:r>
          </w:p>
        </w:tc>
        <w:tc>
          <w:tcPr>
            <w:tcW w:type="dxa" w:w="2160"/>
          </w:tcPr>
          <w:p>
            <w:pPr>
              <w:jc w:val="center"/>
            </w:pPr>
            <w:r>
              <w:rPr>
                <w:sz w:val="20"/>
              </w:rPr>
              <w:t>偶像准社会关系</w:t>
            </w:r>
          </w:p>
        </w:tc>
        <w:tc>
          <w:tcPr>
            <w:tcW w:type="dxa" w:w="1584"/>
          </w:tcPr>
          <w:p>
            <w:pPr>
              <w:jc w:val="center"/>
            </w:pPr>
            <w:r>
              <w:rPr>
                <w:sz w:val="20"/>
              </w:rPr>
              <w:t>0.970✓</w:t>
            </w:r>
          </w:p>
        </w:tc>
        <w:tc>
          <w:tcPr>
            <w:tcW w:type="dxa" w:w="1296"/>
          </w:tcPr>
          <w:p>
            <w:pPr>
              <w:jc w:val="center"/>
            </w:pPr>
            <w:r>
              <w:rPr>
                <w:sz w:val="20"/>
              </w:rPr>
              <w:t>0.956✓</w:t>
            </w:r>
          </w:p>
        </w:tc>
        <w:tc>
          <w:tcPr>
            <w:tcW w:type="dxa" w:w="1296"/>
          </w:tcPr>
          <w:p>
            <w:pPr>
              <w:jc w:val="center"/>
            </w:pPr>
            <w:r>
              <w:rPr>
                <w:sz w:val="20"/>
              </w:rPr>
              <w:t>0.985✓</w:t>
            </w:r>
          </w:p>
        </w:tc>
      </w:tr>
      <w:tr>
        <w:tc>
          <w:tcPr>
            <w:tcW w:type="dxa" w:w="864"/>
          </w:tcPr>
          <w:p>
            <w:pPr>
              <w:jc w:val="center"/>
            </w:pPr>
            <w:r>
              <w:rPr>
                <w:sz w:val="20"/>
              </w:rPr>
              <w:t>CTA</w:t>
            </w:r>
          </w:p>
        </w:tc>
        <w:tc>
          <w:tcPr>
            <w:tcW w:type="dxa" w:w="2160"/>
          </w:tcPr>
          <w:p>
            <w:pPr>
              <w:jc w:val="center"/>
            </w:pPr>
            <w:r>
              <w:rPr>
                <w:sz w:val="20"/>
              </w:rPr>
              <w:t>城市旅游吸引力</w:t>
            </w:r>
          </w:p>
        </w:tc>
        <w:tc>
          <w:tcPr>
            <w:tcW w:type="dxa" w:w="1584"/>
          </w:tcPr>
          <w:p>
            <w:pPr>
              <w:jc w:val="center"/>
            </w:pPr>
            <w:r>
              <w:rPr>
                <w:sz w:val="20"/>
              </w:rPr>
              <w:t>0.886✓</w:t>
            </w:r>
          </w:p>
        </w:tc>
        <w:tc>
          <w:tcPr>
            <w:tcW w:type="dxa" w:w="1296"/>
          </w:tcPr>
          <w:p>
            <w:pPr>
              <w:jc w:val="center"/>
            </w:pPr>
            <w:r>
              <w:rPr>
                <w:sz w:val="20"/>
              </w:rPr>
              <w:t>0.828✓</w:t>
            </w:r>
          </w:p>
        </w:tc>
        <w:tc>
          <w:tcPr>
            <w:tcW w:type="dxa" w:w="1296"/>
          </w:tcPr>
          <w:p>
            <w:pPr>
              <w:jc w:val="center"/>
            </w:pPr>
            <w:r>
              <w:rPr>
                <w:sz w:val="20"/>
              </w:rPr>
              <w:t>0.935✓</w:t>
            </w:r>
          </w:p>
        </w:tc>
      </w:tr>
      <w:tr>
        <w:tc>
          <w:tcPr>
            <w:tcW w:type="dxa" w:w="864"/>
          </w:tcPr>
          <w:p>
            <w:pPr>
              <w:jc w:val="center"/>
            </w:pPr>
            <w:r>
              <w:rPr>
                <w:sz w:val="20"/>
              </w:rPr>
              <w:t>EEM</w:t>
            </w:r>
          </w:p>
        </w:tc>
        <w:tc>
          <w:tcPr>
            <w:tcW w:type="dxa" w:w="2160"/>
          </w:tcPr>
          <w:p>
            <w:pPr>
              <w:jc w:val="center"/>
            </w:pPr>
            <w:r>
              <w:rPr>
                <w:sz w:val="20"/>
              </w:rPr>
              <w:t>情感体验动机</w:t>
            </w:r>
          </w:p>
        </w:tc>
        <w:tc>
          <w:tcPr>
            <w:tcW w:type="dxa" w:w="1584"/>
          </w:tcPr>
          <w:p>
            <w:pPr>
              <w:jc w:val="center"/>
            </w:pPr>
            <w:r>
              <w:rPr>
                <w:sz w:val="20"/>
              </w:rPr>
              <w:t>0.817✓</w:t>
            </w:r>
          </w:p>
        </w:tc>
        <w:tc>
          <w:tcPr>
            <w:tcW w:type="dxa" w:w="1296"/>
          </w:tcPr>
          <w:p>
            <w:pPr>
              <w:jc w:val="center"/>
            </w:pPr>
            <w:r>
              <w:rPr>
                <w:sz w:val="20"/>
              </w:rPr>
              <w:t>0.782✓</w:t>
            </w:r>
          </w:p>
        </w:tc>
        <w:tc>
          <w:tcPr>
            <w:tcW w:type="dxa" w:w="1296"/>
          </w:tcPr>
          <w:p>
            <w:pPr>
              <w:jc w:val="center"/>
            </w:pPr>
            <w:r>
              <w:rPr>
                <w:sz w:val="20"/>
              </w:rPr>
              <w:t>0.913✓</w:t>
            </w:r>
          </w:p>
        </w:tc>
      </w:tr>
      <w:tr>
        <w:tc>
          <w:tcPr>
            <w:tcW w:type="dxa" w:w="864"/>
          </w:tcPr>
          <w:p>
            <w:pPr>
              <w:jc w:val="center"/>
            </w:pPr>
            <w:r>
              <w:rPr>
                <w:sz w:val="20"/>
              </w:rPr>
              <w:t>GBI</w:t>
            </w:r>
          </w:p>
        </w:tc>
        <w:tc>
          <w:tcPr>
            <w:tcW w:type="dxa" w:w="2160"/>
          </w:tcPr>
          <w:p>
            <w:pPr>
              <w:jc w:val="center"/>
            </w:pPr>
            <w:r>
              <w:rPr>
                <w:sz w:val="20"/>
              </w:rPr>
              <w:t>群体归属感</w:t>
            </w:r>
          </w:p>
        </w:tc>
        <w:tc>
          <w:tcPr>
            <w:tcW w:type="dxa" w:w="1584"/>
          </w:tcPr>
          <w:p>
            <w:pPr>
              <w:jc w:val="center"/>
            </w:pPr>
            <w:r>
              <w:rPr>
                <w:sz w:val="20"/>
              </w:rPr>
              <w:t>0.882✓</w:t>
            </w:r>
          </w:p>
        </w:tc>
        <w:tc>
          <w:tcPr>
            <w:tcW w:type="dxa" w:w="1296"/>
          </w:tcPr>
          <w:p>
            <w:pPr>
              <w:jc w:val="center"/>
            </w:pPr>
            <w:r>
              <w:rPr>
                <w:sz w:val="20"/>
              </w:rPr>
              <w:t>0.880✓</w:t>
            </w:r>
          </w:p>
        </w:tc>
        <w:tc>
          <w:tcPr>
            <w:tcW w:type="dxa" w:w="1296"/>
          </w:tcPr>
          <w:p>
            <w:pPr>
              <w:jc w:val="center"/>
            </w:pPr>
            <w:r>
              <w:rPr>
                <w:sz w:val="20"/>
              </w:rPr>
              <w:t>0.957✓</w:t>
            </w:r>
          </w:p>
        </w:tc>
      </w:tr>
      <w:tr>
        <w:tc>
          <w:tcPr>
            <w:tcW w:type="dxa" w:w="864"/>
          </w:tcPr>
          <w:p>
            <w:pPr>
              <w:jc w:val="center"/>
            </w:pPr>
            <w:r>
              <w:rPr>
                <w:sz w:val="20"/>
              </w:rPr>
              <w:t>RSA</w:t>
            </w:r>
          </w:p>
        </w:tc>
        <w:tc>
          <w:tcPr>
            <w:tcW w:type="dxa" w:w="2160"/>
          </w:tcPr>
          <w:p>
            <w:pPr>
              <w:jc w:val="center"/>
            </w:pPr>
            <w:r>
              <w:rPr>
                <w:sz w:val="20"/>
              </w:rPr>
              <w:t>仪式感与自我实现</w:t>
            </w:r>
          </w:p>
        </w:tc>
        <w:tc>
          <w:tcPr>
            <w:tcW w:type="dxa" w:w="1584"/>
          </w:tcPr>
          <w:p>
            <w:pPr>
              <w:jc w:val="center"/>
            </w:pPr>
            <w:r>
              <w:rPr>
                <w:sz w:val="20"/>
              </w:rPr>
              <w:t>0.923✓</w:t>
            </w:r>
          </w:p>
        </w:tc>
        <w:tc>
          <w:tcPr>
            <w:tcW w:type="dxa" w:w="1296"/>
          </w:tcPr>
          <w:p>
            <w:pPr>
              <w:jc w:val="center"/>
            </w:pPr>
            <w:r>
              <w:rPr>
                <w:sz w:val="20"/>
              </w:rPr>
              <w:t>0.886✓</w:t>
            </w:r>
          </w:p>
        </w:tc>
        <w:tc>
          <w:tcPr>
            <w:tcW w:type="dxa" w:w="1296"/>
          </w:tcPr>
          <w:p>
            <w:pPr>
              <w:jc w:val="center"/>
            </w:pPr>
            <w:r>
              <w:rPr>
                <w:sz w:val="20"/>
              </w:rPr>
              <w:t>0.959✓</w:t>
            </w:r>
          </w:p>
        </w:tc>
      </w:tr>
      <w:tr>
        <w:tc>
          <w:tcPr>
            <w:tcW w:type="dxa" w:w="864"/>
          </w:tcPr>
          <w:p>
            <w:pPr>
              <w:jc w:val="center"/>
            </w:pPr>
            <w:r>
              <w:rPr>
                <w:sz w:val="20"/>
              </w:rPr>
              <w:t>PCB</w:t>
            </w:r>
          </w:p>
        </w:tc>
        <w:tc>
          <w:tcPr>
            <w:tcW w:type="dxa" w:w="2160"/>
          </w:tcPr>
          <w:p>
            <w:pPr>
              <w:jc w:val="center"/>
            </w:pPr>
            <w:r>
              <w:rPr>
                <w:sz w:val="20"/>
              </w:rPr>
              <w:t>感知成本障碍</w:t>
            </w:r>
          </w:p>
        </w:tc>
        <w:tc>
          <w:tcPr>
            <w:tcW w:type="dxa" w:w="1584"/>
          </w:tcPr>
          <w:p>
            <w:pPr>
              <w:jc w:val="center"/>
            </w:pPr>
            <w:r>
              <w:rPr>
                <w:sz w:val="20"/>
              </w:rPr>
              <w:t>0.877✓</w:t>
            </w:r>
          </w:p>
        </w:tc>
        <w:tc>
          <w:tcPr>
            <w:tcW w:type="dxa" w:w="1296"/>
          </w:tcPr>
          <w:p>
            <w:pPr>
              <w:jc w:val="center"/>
            </w:pPr>
            <w:r>
              <w:rPr>
                <w:sz w:val="20"/>
              </w:rPr>
              <w:t>0.806✓</w:t>
            </w:r>
          </w:p>
        </w:tc>
        <w:tc>
          <w:tcPr>
            <w:tcW w:type="dxa" w:w="1296"/>
          </w:tcPr>
          <w:p>
            <w:pPr>
              <w:jc w:val="center"/>
            </w:pPr>
            <w:r>
              <w:rPr>
                <w:sz w:val="20"/>
              </w:rPr>
              <w:t>0.926✓</w:t>
            </w:r>
          </w:p>
        </w:tc>
      </w:tr>
      <w:tr>
        <w:tc>
          <w:tcPr>
            <w:tcW w:type="dxa" w:w="864"/>
          </w:tcPr>
          <w:p>
            <w:pPr>
              <w:jc w:val="center"/>
            </w:pPr>
            <w:r>
              <w:rPr>
                <w:sz w:val="20"/>
              </w:rPr>
              <w:t>PVI</w:t>
            </w:r>
          </w:p>
        </w:tc>
        <w:tc>
          <w:tcPr>
            <w:tcW w:type="dxa" w:w="2160"/>
          </w:tcPr>
          <w:p>
            <w:pPr>
              <w:jc w:val="center"/>
            </w:pPr>
            <w:r>
              <w:rPr>
                <w:sz w:val="20"/>
              </w:rPr>
              <w:t>观演意愿</w:t>
            </w:r>
          </w:p>
        </w:tc>
        <w:tc>
          <w:tcPr>
            <w:tcW w:type="dxa" w:w="1584"/>
          </w:tcPr>
          <w:p>
            <w:pPr>
              <w:jc w:val="center"/>
            </w:pPr>
            <w:r>
              <w:rPr>
                <w:sz w:val="20"/>
              </w:rPr>
              <w:t>0.934✓</w:t>
            </w:r>
          </w:p>
        </w:tc>
        <w:tc>
          <w:tcPr>
            <w:tcW w:type="dxa" w:w="1296"/>
          </w:tcPr>
          <w:p>
            <w:pPr>
              <w:jc w:val="center"/>
            </w:pPr>
            <w:r>
              <w:rPr>
                <w:sz w:val="20"/>
              </w:rPr>
              <w:t>0.885✓</w:t>
            </w:r>
          </w:p>
        </w:tc>
        <w:tc>
          <w:tcPr>
            <w:tcW w:type="dxa" w:w="1296"/>
          </w:tcPr>
          <w:p>
            <w:pPr>
              <w:jc w:val="center"/>
            </w:pPr>
            <w:r>
              <w:rPr>
                <w:sz w:val="20"/>
              </w:rPr>
              <w:t>0.959✓</w:t>
            </w:r>
          </w:p>
        </w:tc>
      </w:tr>
      <w:tr>
        <w:tc>
          <w:tcPr>
            <w:tcW w:type="dxa" w:w="864"/>
          </w:tcPr>
          <w:p>
            <w:pPr>
              <w:jc w:val="center"/>
            </w:pPr>
            <w:r>
              <w:rPr>
                <w:sz w:val="20"/>
              </w:rPr>
              <w:t>TWI</w:t>
            </w:r>
          </w:p>
        </w:tc>
        <w:tc>
          <w:tcPr>
            <w:tcW w:type="dxa" w:w="2160"/>
          </w:tcPr>
          <w:p>
            <w:pPr>
              <w:jc w:val="center"/>
            </w:pPr>
            <w:r>
              <w:rPr>
                <w:sz w:val="20"/>
              </w:rPr>
              <w:t>旅游消费意愿</w:t>
            </w:r>
          </w:p>
        </w:tc>
        <w:tc>
          <w:tcPr>
            <w:tcW w:type="dxa" w:w="1584"/>
          </w:tcPr>
          <w:p>
            <w:pPr>
              <w:jc w:val="center"/>
            </w:pPr>
            <w:r>
              <w:rPr>
                <w:sz w:val="20"/>
              </w:rPr>
              <w:t>0.752✓</w:t>
            </w:r>
          </w:p>
        </w:tc>
        <w:tc>
          <w:tcPr>
            <w:tcW w:type="dxa" w:w="1296"/>
          </w:tcPr>
          <w:p>
            <w:pPr>
              <w:jc w:val="center"/>
            </w:pPr>
            <w:r>
              <w:rPr>
                <w:sz w:val="20"/>
              </w:rPr>
              <w:t>0.680✓</w:t>
            </w:r>
          </w:p>
        </w:tc>
        <w:tc>
          <w:tcPr>
            <w:tcW w:type="dxa" w:w="1296"/>
          </w:tcPr>
          <w:p>
            <w:pPr>
              <w:jc w:val="center"/>
            </w:pPr>
            <w:r>
              <w:rPr>
                <w:sz w:val="20"/>
              </w:rPr>
              <w:t>0.863✓</w:t>
            </w:r>
          </w:p>
        </w:tc>
      </w:tr>
    </w:tbl>
    <w:p>
      <w:pPr>
        <w:ind w:firstLine="480"/>
      </w:pPr>
      <w:r>
        <w:rPr>
          <w:sz w:val="22"/>
        </w:rPr>
        <w:t>由表1可知，全部构念α均超过0.75（范围0.752—0.970），AVE均值0.839，CR均值0.938，均优于第一轮（α范围0.70-0.87，AVE均值0.63）。特别是PSR（偶像准社会关系）α=0.970、AVE=0.956，达到近完美信度水平，反映粉丝与偶像情感纽带测量的高度一致性。</w:t>
      </w:r>
    </w:p>
    <w:p/>
    <w:p>
      <w:pPr>
        <w:pStyle w:val="3"/>
      </w:pPr>
      <w:r>
        <w:rPr>
          <w:sz w:val="28"/>
        </w:rPr>
        <w:t>一、样本基本特征</w:t>
      </w:r>
    </w:p>
    <w:p>
      <w:pPr>
        <w:pStyle w:val="4"/>
      </w:pPr>
      <w:r>
        <w:rPr>
          <w:sz w:val="26"/>
        </w:rPr>
        <w:t>（一）人口学特征</w:t>
      </w:r>
    </w:p>
    <w:p>
      <w:pPr>
        <w:ind w:firstLine="480"/>
      </w:pPr>
      <w:r>
        <w:rPr>
          <w:sz w:val="22"/>
        </w:rPr>
        <w:t>样本共计300人。【▲变动】性别构成发生显著反转：女性193人（64.3%），男性107人（35.7%），第一轮男性占比56.1%，本轮女性成为明显主体，与国内演唱会粉丝群体女性占比高的市场规律更为吻合。</w:t>
      </w:r>
    </w:p>
    <w:p>
      <w:pPr>
        <w:ind w:firstLine="480"/>
      </w:pPr>
      <w:r>
        <w:rPr>
          <w:sz w:val="22"/>
        </w:rPr>
        <w:t>年龄方面，Z世代主体（22—26岁）仍占比最高（49.0%，147人），Z世代末（17—21岁）103人（34.3%）；本轮新增27—31岁广义Z世代50人（16.7%），样本代表面更宽。月可支配收入以1001—3000元最集中（104人，34.7%），与第一轮结构一致。</w:t>
      </w:r>
    </w:p>
    <w:p>
      <w:pPr>
        <w:jc w:val="center"/>
      </w:pPr>
      <w:r>
        <w:drawing>
          <wp:inline xmlns:a="http://schemas.openxmlformats.org/drawingml/2006/main" xmlns:pic="http://schemas.openxmlformats.org/drawingml/2006/picture">
            <wp:extent cx="5303520" cy="4121700"/>
            <wp:docPr id="1" name="Picture 1"/>
            <wp:cNvGraphicFramePr>
              <a:graphicFrameLocks noChangeAspect="1"/>
            </wp:cNvGraphicFramePr>
            <a:graphic>
              <a:graphicData uri="http://schemas.openxmlformats.org/drawingml/2006/picture">
                <pic:pic>
                  <pic:nvPicPr>
                    <pic:cNvPr id="0" name="fig1_demographics.png"/>
                    <pic:cNvPicPr/>
                  </pic:nvPicPr>
                  <pic:blipFill>
                    <a:blip r:embed="rId17"/>
                    <a:stretch>
                      <a:fillRect/>
                    </a:stretch>
                  </pic:blipFill>
                  <pic:spPr>
                    <a:xfrm>
                      <a:off x="0" y="0"/>
                      <a:ext cx="5303520" cy="4121700"/>
                    </a:xfrm>
                    <a:prstGeom prst="rect"/>
                  </pic:spPr>
                </pic:pic>
              </a:graphicData>
            </a:graphic>
          </wp:inline>
        </w:drawing>
      </w:r>
    </w:p>
    <w:p>
      <w:pPr>
        <w:jc w:val="center"/>
      </w:pPr>
      <w:r>
        <w:rPr>
          <w:b/>
          <w:color w:val="444444"/>
          <w:sz w:val="21"/>
        </w:rPr>
        <w:t>图1  样本人口学特征概览（n=300）</w:t>
      </w:r>
    </w:p>
    <w:p/>
    <w:p>
      <w:pPr>
        <w:pStyle w:val="4"/>
      </w:pPr>
      <w:r>
        <w:rPr>
          <w:sz w:val="26"/>
        </w:rPr>
        <w:t>（二）粉丝特征与观演经历</w:t>
      </w:r>
    </w:p>
    <w:p>
      <w:pPr>
        <w:ind w:firstLine="480"/>
      </w:pPr>
      <w:r>
        <w:rPr>
          <w:sz w:val="22"/>
        </w:rPr>
        <w:t>偶像归属方面，248人（82.7%）拥有长期支持偶像，以支持1位（146人，48.7%）和2—3位（102人）为主；52人（17.3%）为泛演出爱好者，占比较第一轮（18.2%）略下降。</w:t>
      </w:r>
    </w:p>
    <w:p>
      <w:pPr>
        <w:ind w:firstLine="480"/>
      </w:pPr>
      <w:r>
        <w:rPr>
          <w:sz w:val="22"/>
        </w:rPr>
        <w:t>观演经历方面，【▲变动】1—3次观演经历占比大幅上升至65%（195人），7次及以上高频观众同样突出（101人，33.7%），说明本批样本聚集了更多中低频率但有意愿升频的新入场观众，以及高忠诚度重度观众，分布两极化特征明显。</w:t>
      </w:r>
    </w:p>
    <w:p>
      <w:pPr>
        <w:ind w:firstLine="480"/>
      </w:pPr>
      <w:r>
        <w:rPr>
          <w:sz w:val="22"/>
        </w:rPr>
        <w:t>未来观演意向方面，【▲显著变动】295人（98.3%）明确表示有观演计划，较第一轮（67.8%）大幅提升，其中仅0人（0.0%）表示无计划，整体观演意愿极为高涨。</w:t>
      </w:r>
    </w:p>
    <w:p>
      <w:pPr>
        <w:jc w:val="center"/>
      </w:pPr>
      <w:r>
        <w:drawing>
          <wp:inline xmlns:a="http://schemas.openxmlformats.org/drawingml/2006/main" xmlns:pic="http://schemas.openxmlformats.org/drawingml/2006/picture">
            <wp:extent cx="5303520" cy="2002051"/>
            <wp:docPr id="2" name="Picture 2"/>
            <wp:cNvGraphicFramePr>
              <a:graphicFrameLocks noChangeAspect="1"/>
            </wp:cNvGraphicFramePr>
            <a:graphic>
              <a:graphicData uri="http://schemas.openxmlformats.org/drawingml/2006/picture">
                <pic:pic>
                  <pic:nvPicPr>
                    <pic:cNvPr id="0" name="fig2_fan_features.png"/>
                    <pic:cNvPicPr/>
                  </pic:nvPicPr>
                  <pic:blipFill>
                    <a:blip r:embed="rId18"/>
                    <a:stretch>
                      <a:fillRect/>
                    </a:stretch>
                  </pic:blipFill>
                  <pic:spPr>
                    <a:xfrm>
                      <a:off x="0" y="0"/>
                      <a:ext cx="5303520" cy="2002051"/>
                    </a:xfrm>
                    <a:prstGeom prst="rect"/>
                  </pic:spPr>
                </pic:pic>
              </a:graphicData>
            </a:graphic>
          </wp:inline>
        </w:drawing>
      </w:r>
    </w:p>
    <w:p>
      <w:pPr>
        <w:jc w:val="center"/>
      </w:pPr>
      <w:r>
        <w:rPr>
          <w:b/>
          <w:color w:val="444444"/>
          <w:sz w:val="21"/>
        </w:rPr>
        <w:t>图2  粉丝特征与观演行为分布（n=300）</w:t>
      </w:r>
    </w:p>
    <w:p/>
    <w:p>
      <w:pPr>
        <w:pStyle w:val="3"/>
      </w:pPr>
      <w:r>
        <w:rPr>
          <w:sz w:val="28"/>
        </w:rPr>
        <w:t>二、观演行为与消费特征</w:t>
      </w:r>
    </w:p>
    <w:p>
      <w:pPr>
        <w:pStyle w:val="4"/>
      </w:pPr>
      <w:r>
        <w:rPr>
          <w:sz w:val="26"/>
        </w:rPr>
        <w:t>（一）信息获取渠道</w:t>
      </w:r>
    </w:p>
    <w:p>
      <w:pPr>
        <w:ind w:firstLine="480"/>
      </w:pPr>
      <w:r>
        <w:rPr>
          <w:sz w:val="22"/>
        </w:rPr>
        <w:t>对Q5多选项拆解后共获得1186次提及（有效作答299人）。渗透率最高的渠道为票务平台（292次，98%），其次为微博/粉丝群（248次，83%）。【▲变动】与第一轮相比，票务平台（292次，98%）渗透率大幅提升，成为仅次于社交媒体的第二大渠道，反映观众从"被动种草"向"主动查票"的行为链路演变趋势。</w:t>
      </w:r>
    </w:p>
    <w:p>
      <w:pPr>
        <w:jc w:val="center"/>
      </w:pPr>
      <w:r>
        <w:drawing>
          <wp:inline xmlns:a="http://schemas.openxmlformats.org/drawingml/2006/main" xmlns:pic="http://schemas.openxmlformats.org/drawingml/2006/picture">
            <wp:extent cx="5029200" cy="2490344"/>
            <wp:docPr id="3" name="Picture 3"/>
            <wp:cNvGraphicFramePr>
              <a:graphicFrameLocks noChangeAspect="1"/>
            </wp:cNvGraphicFramePr>
            <a:graphic>
              <a:graphicData uri="http://schemas.openxmlformats.org/drawingml/2006/picture">
                <pic:pic>
                  <pic:nvPicPr>
                    <pic:cNvPr id="0" name="fig3_info_channels.png"/>
                    <pic:cNvPicPr/>
                  </pic:nvPicPr>
                  <pic:blipFill>
                    <a:blip r:embed="rId19"/>
                    <a:stretch>
                      <a:fillRect/>
                    </a:stretch>
                  </pic:blipFill>
                  <pic:spPr>
                    <a:xfrm>
                      <a:off x="0" y="0"/>
                      <a:ext cx="5029200" cy="2490344"/>
                    </a:xfrm>
                    <a:prstGeom prst="rect"/>
                  </pic:spPr>
                </pic:pic>
              </a:graphicData>
            </a:graphic>
          </wp:inline>
        </w:drawing>
      </w:r>
    </w:p>
    <w:p>
      <w:pPr>
        <w:jc w:val="center"/>
      </w:pPr>
      <w:r>
        <w:rPr>
          <w:b/>
          <w:color w:val="444444"/>
          <w:sz w:val="21"/>
        </w:rPr>
        <w:t>图3  信息获取渠道分布（多选，n=299）</w:t>
      </w:r>
    </w:p>
    <w:p/>
    <w:p>
      <w:pPr>
        <w:pStyle w:val="4"/>
      </w:pPr>
      <w:r>
        <w:rPr>
          <w:sz w:val="26"/>
        </w:rPr>
        <w:t>（二）消费规模与结构</w:t>
      </w:r>
    </w:p>
    <w:p>
      <w:pPr>
        <w:ind w:firstLine="480"/>
      </w:pPr>
      <w:r>
        <w:rPr>
          <w:sz w:val="22"/>
        </w:rPr>
        <w:t>每场非门票消费方面，【▲结构变动】200—500元（108人，36%）与501—1000元（98人，33%）合计占比69%，消费中心较第一轮整体上移约100—200元，说明本批样本整体消费能力更强、观演投入更高。超2000元的高消费群体占比2%，较第一轮（7%）有所下降，高消费尾部收窄。</w:t>
      </w:r>
    </w:p>
    <w:p>
      <w:pPr>
        <w:ind w:firstLine="480"/>
      </w:pPr>
      <w:r>
        <w:rPr>
          <w:sz w:val="22"/>
        </w:rPr>
        <w:t>周边月均消费方面，50—200元区间最集中（125人，50%），整体分布较第一轮更为集中于低中消费区间，超500元的高消费周边购买比例（4%）低于第一轮，说明本批样本中重度周边消费者比例相对较低。</w:t>
      </w:r>
    </w:p>
    <w:p>
      <w:pPr>
        <w:jc w:val="center"/>
      </w:pPr>
      <w:r>
        <w:drawing>
          <wp:inline xmlns:a="http://schemas.openxmlformats.org/drawingml/2006/main" xmlns:pic="http://schemas.openxmlformats.org/drawingml/2006/picture">
            <wp:extent cx="5303520" cy="2315350"/>
            <wp:docPr id="4" name="Picture 4"/>
            <wp:cNvGraphicFramePr>
              <a:graphicFrameLocks noChangeAspect="1"/>
            </wp:cNvGraphicFramePr>
            <a:graphic>
              <a:graphicData uri="http://schemas.openxmlformats.org/drawingml/2006/picture">
                <pic:pic>
                  <pic:nvPicPr>
                    <pic:cNvPr id="0" name="fig4_consumption.png"/>
                    <pic:cNvPicPr/>
                  </pic:nvPicPr>
                  <pic:blipFill>
                    <a:blip r:embed="rId20"/>
                    <a:stretch>
                      <a:fillRect/>
                    </a:stretch>
                  </pic:blipFill>
                  <pic:spPr>
                    <a:xfrm>
                      <a:off x="0" y="0"/>
                      <a:ext cx="5303520" cy="2315350"/>
                    </a:xfrm>
                    <a:prstGeom prst="rect"/>
                  </pic:spPr>
                </pic:pic>
              </a:graphicData>
            </a:graphic>
          </wp:inline>
        </w:drawing>
      </w:r>
    </w:p>
    <w:p>
      <w:pPr>
        <w:jc w:val="center"/>
      </w:pPr>
      <w:r>
        <w:rPr>
          <w:b/>
          <w:color w:val="444444"/>
          <w:sz w:val="21"/>
        </w:rPr>
        <w:t>图4  消费结构分布（非门票消费 n=299，周边月均 n=248）</w:t>
      </w:r>
    </w:p>
    <w:p/>
    <w:p>
      <w:pPr>
        <w:pStyle w:val="3"/>
      </w:pPr>
      <w:r>
        <w:rPr>
          <w:sz w:val="28"/>
        </w:rPr>
        <w:t>三、量表维度得分分析</w:t>
      </w:r>
    </w:p>
    <w:p>
      <w:pPr>
        <w:pStyle w:val="4"/>
      </w:pPr>
      <w:r>
        <w:rPr>
          <w:sz w:val="26"/>
        </w:rPr>
        <w:t>（一）九维度均值雷达图</w:t>
      </w:r>
    </w:p>
    <w:p>
      <w:pPr>
        <w:ind w:firstLine="480"/>
      </w:pPr>
      <w:r>
        <w:rPr>
          <w:sz w:val="22"/>
        </w:rPr>
        <w:t>图5雷达图采用双组对比形式，从有无偶像归属（左图）与观演经历高低频（右图）两个维度，揭示九大构念均值的群体差异。【有无偶像对比】有偶像组（n=248）在SMI（4.40 vs 2.48，Δ=1.92）、PSR（4.17 vs 1.15，Δ=3.03）、RSA（4.13 vs 2.27，Δ=1.87）三个维度与无偶像组差异最为显著，印证"偶像归属是社交动机与仪式认同的核心激活因子"；而EEM（情感体验动机）两组差距较小（4.95 vs 4.64），支持"情感体验是Z世代观演的普适驱动"核心结论。【高低频观演对比】高频观演组（≥4次，n=104）的TWI（旅游消费意愿，4.18 vs 2.99，Δ=1.19）和PVI（4.60 vs 3.96）显著高于中低频组，提示观演经历越丰富，旅游延伸消费意愿越强烈。PCB（感知成本障碍）在高频组更低（2.37 vs 3.23），反映"重复观演者对成本的自我说服与心理适应"效应。</w:t>
      </w:r>
    </w:p>
    <w:p>
      <w:pPr>
        <w:jc w:val="center"/>
      </w:pPr>
      <w:r>
        <w:drawing>
          <wp:inline xmlns:a="http://schemas.openxmlformats.org/drawingml/2006/main" xmlns:pic="http://schemas.openxmlformats.org/drawingml/2006/picture">
            <wp:extent cx="5486400" cy="2680340"/>
            <wp:docPr id="11" name="Picture 11"/>
            <wp:cNvGraphicFramePr>
              <a:graphicFrameLocks noChangeAspect="1"/>
            </wp:cNvGraphicFramePr>
            <a:graphic>
              <a:graphicData uri="http://schemas.openxmlformats.org/drawingml/2006/picture">
                <pic:pic>
                  <pic:nvPicPr>
                    <pic:cNvPr id="0" name="fig5_radar.png"/>
                    <pic:cNvPicPr/>
                  </pic:nvPicPr>
                  <pic:blipFill>
                    <a:blip r:embed="rId27"/>
                    <a:stretch>
                      <a:fillRect/>
                    </a:stretch>
                  </pic:blipFill>
                  <pic:spPr>
                    <a:xfrm>
                      <a:off x="0" y="0"/>
                      <a:ext cx="5486400" cy="2680340"/>
                    </a:xfrm>
                    <a:prstGeom prst="rect"/>
                  </pic:spPr>
                </pic:pic>
              </a:graphicData>
            </a:graphic>
          </wp:inline>
        </w:drawing>
      </w:r>
    </w:p>
    <w:p>
      <w:pPr>
        <w:jc w:val="center"/>
      </w:pPr>
      <w:r>
        <w:rPr>
          <w:b/>
          <w:color w:val="444444"/>
          <w:sz w:val="21"/>
        </w:rPr>
        <w:t>图5  九大构念量表均值双组对比雷达图（左：有无偶像分组；右：高低频观演分组，n=300，Likert 1—5分）</w:t>
      </w:r>
    </w:p>
    <w:p/>
    <w:p>
      <w:pPr>
        <w:pStyle w:val="4"/>
      </w:pPr>
      <w:r>
        <w:rPr>
          <w:sz w:val="26"/>
        </w:rPr>
        <w:t>（二）量表得分分布形态</w:t>
      </w:r>
    </w:p>
    <w:p>
      <w:pPr>
        <w:ind w:firstLine="480"/>
      </w:pPr>
      <w:r>
        <w:rPr>
          <w:sz w:val="22"/>
        </w:rPr>
        <w:t>图6（小提琴+箱形图）揭示了各构念得分分布形态的重要变化：EEM呈现极端左偏（高分聚集），小提琴形态呈倒锥形，说明近乎所有受访者都对情感体验有强烈认同，离散度极小（SD=0.255）；PCB呈现相对均匀的分布，但中位数低于3分，说明成本障碍在多数受访者中不构成主要抑制因素；PVI和TWI得分集中于3.5以上，支撑后续SEM中这两个因变量的可预测性。</w:t>
      </w:r>
    </w:p>
    <w:p>
      <w:pPr>
        <w:jc w:val="center"/>
      </w:pPr>
      <w:r>
        <w:drawing>
          <wp:inline xmlns:a="http://schemas.openxmlformats.org/drawingml/2006/main" xmlns:pic="http://schemas.openxmlformats.org/drawingml/2006/picture">
            <wp:extent cx="5303520" cy="2260488"/>
            <wp:docPr id="6" name="Picture 6"/>
            <wp:cNvGraphicFramePr>
              <a:graphicFrameLocks noChangeAspect="1"/>
            </wp:cNvGraphicFramePr>
            <a:graphic>
              <a:graphicData uri="http://schemas.openxmlformats.org/drawingml/2006/picture">
                <pic:pic>
                  <pic:nvPicPr>
                    <pic:cNvPr id="0" name="fig8_violin.png"/>
                    <pic:cNvPicPr/>
                  </pic:nvPicPr>
                  <pic:blipFill>
                    <a:blip r:embed="rId22"/>
                    <a:stretch>
                      <a:fillRect/>
                    </a:stretch>
                  </pic:blipFill>
                  <pic:spPr>
                    <a:xfrm>
                      <a:off x="0" y="0"/>
                      <a:ext cx="5303520" cy="2260488"/>
                    </a:xfrm>
                    <a:prstGeom prst="rect"/>
                  </pic:spPr>
                </pic:pic>
              </a:graphicData>
            </a:graphic>
          </wp:inline>
        </w:drawing>
      </w:r>
    </w:p>
    <w:p>
      <w:pPr>
        <w:jc w:val="center"/>
      </w:pPr>
      <w:r>
        <w:rPr>
          <w:b/>
          <w:color w:val="444444"/>
          <w:sz w:val="21"/>
        </w:rPr>
        <w:t>图6  各构念量表得分分布形态（小提琴+箱形图，n=300）</w:t>
      </w:r>
    </w:p>
    <w:p/>
    <w:p>
      <w:pPr>
        <w:pStyle w:val="4"/>
      </w:pPr>
      <w:r>
        <w:rPr>
          <w:sz w:val="26"/>
        </w:rPr>
        <w:t>（三）各构念均值与标准差汇总</w:t>
      </w:r>
    </w:p>
    <w:p>
      <w:pPr>
        <w:jc w:val="center"/>
      </w:pPr>
      <w:r>
        <w:rPr>
          <w:b/>
          <w:color w:val="444444"/>
          <w:sz w:val="21"/>
        </w:rPr>
        <w:t>表2  各构念量表描述性统计汇总（N=300）</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1187"/>
        <w:gridCol w:w="1187"/>
        <w:gridCol w:w="1187"/>
        <w:gridCol w:w="1187"/>
        <w:gridCol w:w="1187"/>
        <w:gridCol w:w="1187"/>
        <w:gridCol w:w="1187"/>
      </w:tblGrid>
      <w:tr>
        <w:tc>
          <w:tcPr>
            <w:tcW w:type="dxa" w:w="864"/>
          </w:tcPr>
          <w:p>
            <w:pPr>
              <w:jc w:val="center"/>
            </w:pPr>
            <w:r>
              <w:rPr>
                <w:b/>
                <w:sz w:val="20"/>
              </w:rPr>
              <w:t>构念</w:t>
            </w:r>
          </w:p>
        </w:tc>
        <w:tc>
          <w:tcPr>
            <w:tcW w:type="dxa" w:w="2160"/>
          </w:tcPr>
          <w:p>
            <w:pPr>
              <w:jc w:val="center"/>
            </w:pPr>
            <w:r>
              <w:rPr>
                <w:b/>
                <w:sz w:val="20"/>
              </w:rPr>
              <w:t>全称</w:t>
            </w:r>
          </w:p>
        </w:tc>
        <w:tc>
          <w:tcPr>
            <w:tcW w:type="dxa" w:w="1296"/>
          </w:tcPr>
          <w:p>
            <w:pPr>
              <w:jc w:val="center"/>
            </w:pPr>
            <w:r>
              <w:rPr>
                <w:b/>
                <w:sz w:val="20"/>
              </w:rPr>
              <w:t>均值(M)</w:t>
            </w:r>
          </w:p>
        </w:tc>
        <w:tc>
          <w:tcPr>
            <w:tcW w:type="dxa" w:w="1296"/>
          </w:tcPr>
          <w:p>
            <w:pPr>
              <w:jc w:val="center"/>
            </w:pPr>
            <w:r>
              <w:rPr>
                <w:b/>
                <w:sz w:val="20"/>
              </w:rPr>
              <w:t>标准差(SD)</w:t>
            </w:r>
          </w:p>
        </w:tc>
        <w:tc>
          <w:tcPr>
            <w:tcW w:type="dxa" w:w="1008"/>
          </w:tcPr>
          <w:p>
            <w:pPr>
              <w:jc w:val="center"/>
            </w:pPr>
            <w:r>
              <w:rPr>
                <w:b/>
                <w:sz w:val="20"/>
              </w:rPr>
              <w:t>最小值</w:t>
            </w:r>
          </w:p>
        </w:tc>
        <w:tc>
          <w:tcPr>
            <w:tcW w:type="dxa" w:w="1008"/>
          </w:tcPr>
          <w:p>
            <w:pPr>
              <w:jc w:val="center"/>
            </w:pPr>
            <w:r>
              <w:rPr>
                <w:b/>
                <w:sz w:val="20"/>
              </w:rPr>
              <w:t>最大值</w:t>
            </w:r>
          </w:p>
        </w:tc>
        <w:tc>
          <w:tcPr>
            <w:tcW w:type="dxa" w:w="1440"/>
          </w:tcPr>
          <w:p>
            <w:pPr>
              <w:jc w:val="center"/>
            </w:pPr>
            <w:r>
              <w:rPr>
                <w:b/>
                <w:sz w:val="20"/>
              </w:rPr>
              <w:t>≥4分比例</w:t>
            </w:r>
          </w:p>
        </w:tc>
      </w:tr>
      <w:tr>
        <w:tc>
          <w:tcPr>
            <w:tcW w:type="dxa" w:w="864"/>
          </w:tcPr>
          <w:p>
            <w:pPr>
              <w:jc w:val="center"/>
            </w:pPr>
            <w:r>
              <w:rPr>
                <w:sz w:val="20"/>
              </w:rPr>
              <w:t>SMI</w:t>
            </w:r>
          </w:p>
        </w:tc>
        <w:tc>
          <w:tcPr>
            <w:tcW w:type="dxa" w:w="2160"/>
          </w:tcPr>
          <w:p>
            <w:pPr>
              <w:jc w:val="center"/>
            </w:pPr>
            <w:r>
              <w:rPr>
                <w:sz w:val="20"/>
              </w:rPr>
              <w:t>社交媒体信息影响</w:t>
            </w:r>
          </w:p>
        </w:tc>
        <w:tc>
          <w:tcPr>
            <w:tcW w:type="dxa" w:w="1296"/>
          </w:tcPr>
          <w:p>
            <w:pPr>
              <w:jc w:val="center"/>
            </w:pPr>
            <w:r>
              <w:rPr>
                <w:sz w:val="20"/>
              </w:rPr>
              <w:t>4.069</w:t>
            </w:r>
          </w:p>
        </w:tc>
        <w:tc>
          <w:tcPr>
            <w:tcW w:type="dxa" w:w="1296"/>
          </w:tcPr>
          <w:p>
            <w:pPr>
              <w:jc w:val="center"/>
            </w:pPr>
            <w:r>
              <w:rPr>
                <w:sz w:val="20"/>
              </w:rPr>
              <w:t>0.884</w:t>
            </w:r>
          </w:p>
        </w:tc>
        <w:tc>
          <w:tcPr>
            <w:tcW w:type="dxa" w:w="1008"/>
          </w:tcPr>
          <w:p>
            <w:pPr>
              <w:jc w:val="center"/>
            </w:pPr>
            <w:r>
              <w:rPr>
                <w:sz w:val="20"/>
              </w:rPr>
              <w:t>2.00</w:t>
            </w:r>
          </w:p>
        </w:tc>
        <w:tc>
          <w:tcPr>
            <w:tcW w:type="dxa" w:w="1008"/>
          </w:tcPr>
          <w:p>
            <w:pPr>
              <w:jc w:val="center"/>
            </w:pPr>
            <w:r>
              <w:rPr>
                <w:sz w:val="20"/>
              </w:rPr>
              <w:t>5.00</w:t>
            </w:r>
          </w:p>
        </w:tc>
        <w:tc>
          <w:tcPr>
            <w:tcW w:type="dxa" w:w="1440"/>
          </w:tcPr>
          <w:p>
            <w:pPr>
              <w:jc w:val="center"/>
            </w:pPr>
            <w:r>
              <w:rPr>
                <w:sz w:val="20"/>
              </w:rPr>
              <w:t>69.3%</w:t>
            </w:r>
          </w:p>
        </w:tc>
      </w:tr>
      <w:tr>
        <w:tc>
          <w:tcPr>
            <w:tcW w:type="dxa" w:w="864"/>
          </w:tcPr>
          <w:p>
            <w:pPr>
              <w:jc w:val="center"/>
            </w:pPr>
            <w:r>
              <w:rPr>
                <w:sz w:val="20"/>
              </w:rPr>
              <w:t>PSR</w:t>
            </w:r>
          </w:p>
        </w:tc>
        <w:tc>
          <w:tcPr>
            <w:tcW w:type="dxa" w:w="2160"/>
          </w:tcPr>
          <w:p>
            <w:pPr>
              <w:jc w:val="center"/>
            </w:pPr>
            <w:r>
              <w:rPr>
                <w:sz w:val="20"/>
              </w:rPr>
              <w:t>偶像准社会关系</w:t>
            </w:r>
          </w:p>
        </w:tc>
        <w:tc>
          <w:tcPr>
            <w:tcW w:type="dxa" w:w="1296"/>
          </w:tcPr>
          <w:p>
            <w:pPr>
              <w:jc w:val="center"/>
            </w:pPr>
            <w:r>
              <w:rPr>
                <w:sz w:val="20"/>
              </w:rPr>
              <w:t>3.650</w:t>
            </w:r>
          </w:p>
        </w:tc>
        <w:tc>
          <w:tcPr>
            <w:tcW w:type="dxa" w:w="1296"/>
          </w:tcPr>
          <w:p>
            <w:pPr>
              <w:jc w:val="center"/>
            </w:pPr>
            <w:r>
              <w:rPr>
                <w:sz w:val="20"/>
              </w:rPr>
              <w:t>1.256</w:t>
            </w:r>
          </w:p>
        </w:tc>
        <w:tc>
          <w:tcPr>
            <w:tcW w:type="dxa" w:w="1008"/>
          </w:tcPr>
          <w:p>
            <w:pPr>
              <w:jc w:val="center"/>
            </w:pPr>
            <w:r>
              <w:rPr>
                <w:sz w:val="20"/>
              </w:rPr>
              <w:t>1.00</w:t>
            </w:r>
          </w:p>
        </w:tc>
        <w:tc>
          <w:tcPr>
            <w:tcW w:type="dxa" w:w="1008"/>
          </w:tcPr>
          <w:p>
            <w:pPr>
              <w:jc w:val="center"/>
            </w:pPr>
            <w:r>
              <w:rPr>
                <w:sz w:val="20"/>
              </w:rPr>
              <w:t>5.00</w:t>
            </w:r>
          </w:p>
        </w:tc>
        <w:tc>
          <w:tcPr>
            <w:tcW w:type="dxa" w:w="1440"/>
          </w:tcPr>
          <w:p>
            <w:pPr>
              <w:jc w:val="center"/>
            </w:pPr>
            <w:r>
              <w:rPr>
                <w:sz w:val="20"/>
              </w:rPr>
              <w:t>59.0%</w:t>
            </w:r>
          </w:p>
        </w:tc>
      </w:tr>
      <w:tr>
        <w:tc>
          <w:tcPr>
            <w:tcW w:type="dxa" w:w="864"/>
          </w:tcPr>
          <w:p>
            <w:pPr>
              <w:jc w:val="center"/>
            </w:pPr>
            <w:r>
              <w:rPr>
                <w:sz w:val="20"/>
              </w:rPr>
              <w:t>CTA</w:t>
            </w:r>
          </w:p>
        </w:tc>
        <w:tc>
          <w:tcPr>
            <w:tcW w:type="dxa" w:w="2160"/>
          </w:tcPr>
          <w:p>
            <w:pPr>
              <w:jc w:val="center"/>
            </w:pPr>
            <w:r>
              <w:rPr>
                <w:sz w:val="20"/>
              </w:rPr>
              <w:t>城市旅游吸引力</w:t>
            </w:r>
          </w:p>
        </w:tc>
        <w:tc>
          <w:tcPr>
            <w:tcW w:type="dxa" w:w="1296"/>
          </w:tcPr>
          <w:p>
            <w:pPr>
              <w:jc w:val="center"/>
            </w:pPr>
            <w:r>
              <w:rPr>
                <w:sz w:val="20"/>
              </w:rPr>
              <w:t>3.313</w:t>
            </w:r>
          </w:p>
        </w:tc>
        <w:tc>
          <w:tcPr>
            <w:tcW w:type="dxa" w:w="1296"/>
          </w:tcPr>
          <w:p>
            <w:pPr>
              <w:jc w:val="center"/>
            </w:pPr>
            <w:r>
              <w:rPr>
                <w:sz w:val="20"/>
              </w:rPr>
              <w:t>0.537</w:t>
            </w:r>
          </w:p>
        </w:tc>
        <w:tc>
          <w:tcPr>
            <w:tcW w:type="dxa" w:w="1008"/>
          </w:tcPr>
          <w:p>
            <w:pPr>
              <w:jc w:val="center"/>
            </w:pPr>
            <w:r>
              <w:rPr>
                <w:sz w:val="20"/>
              </w:rPr>
              <w:t>2.33</w:t>
            </w:r>
          </w:p>
        </w:tc>
        <w:tc>
          <w:tcPr>
            <w:tcW w:type="dxa" w:w="1008"/>
          </w:tcPr>
          <w:p>
            <w:pPr>
              <w:jc w:val="center"/>
            </w:pPr>
            <w:r>
              <w:rPr>
                <w:sz w:val="20"/>
              </w:rPr>
              <w:t>4.67</w:t>
            </w:r>
          </w:p>
        </w:tc>
        <w:tc>
          <w:tcPr>
            <w:tcW w:type="dxa" w:w="1440"/>
          </w:tcPr>
          <w:p>
            <w:pPr>
              <w:jc w:val="center"/>
            </w:pPr>
            <w:r>
              <w:rPr>
                <w:sz w:val="20"/>
              </w:rPr>
              <w:t>11.3%</w:t>
            </w:r>
          </w:p>
        </w:tc>
      </w:tr>
      <w:tr>
        <w:tc>
          <w:tcPr>
            <w:tcW w:type="dxa" w:w="864"/>
          </w:tcPr>
          <w:p>
            <w:pPr>
              <w:jc w:val="center"/>
            </w:pPr>
            <w:r>
              <w:rPr>
                <w:sz w:val="20"/>
              </w:rPr>
              <w:t>EEM</w:t>
            </w:r>
          </w:p>
        </w:tc>
        <w:tc>
          <w:tcPr>
            <w:tcW w:type="dxa" w:w="2160"/>
          </w:tcPr>
          <w:p>
            <w:pPr>
              <w:jc w:val="center"/>
            </w:pPr>
            <w:r>
              <w:rPr>
                <w:sz w:val="20"/>
              </w:rPr>
              <w:t>情感体验动机</w:t>
            </w:r>
          </w:p>
        </w:tc>
        <w:tc>
          <w:tcPr>
            <w:tcW w:type="dxa" w:w="1296"/>
          </w:tcPr>
          <w:p>
            <w:pPr>
              <w:jc w:val="center"/>
            </w:pPr>
            <w:r>
              <w:rPr>
                <w:sz w:val="20"/>
              </w:rPr>
              <w:t>4.900</w:t>
            </w:r>
          </w:p>
        </w:tc>
        <w:tc>
          <w:tcPr>
            <w:tcW w:type="dxa" w:w="1296"/>
          </w:tcPr>
          <w:p>
            <w:pPr>
              <w:jc w:val="center"/>
            </w:pPr>
            <w:r>
              <w:rPr>
                <w:sz w:val="20"/>
              </w:rPr>
              <w:t>0.255</w:t>
            </w:r>
          </w:p>
        </w:tc>
        <w:tc>
          <w:tcPr>
            <w:tcW w:type="dxa" w:w="1008"/>
          </w:tcPr>
          <w:p>
            <w:pPr>
              <w:jc w:val="center"/>
            </w:pPr>
            <w:r>
              <w:rPr>
                <w:sz w:val="20"/>
              </w:rPr>
              <w:t>4.00</w:t>
            </w:r>
          </w:p>
        </w:tc>
        <w:tc>
          <w:tcPr>
            <w:tcW w:type="dxa" w:w="1008"/>
          </w:tcPr>
          <w:p>
            <w:pPr>
              <w:jc w:val="center"/>
            </w:pPr>
            <w:r>
              <w:rPr>
                <w:sz w:val="20"/>
              </w:rPr>
              <w:t>5.00</w:t>
            </w:r>
          </w:p>
        </w:tc>
        <w:tc>
          <w:tcPr>
            <w:tcW w:type="dxa" w:w="1440"/>
          </w:tcPr>
          <w:p>
            <w:pPr>
              <w:jc w:val="center"/>
            </w:pPr>
            <w:r>
              <w:rPr>
                <w:sz w:val="20"/>
              </w:rPr>
              <w:t>100.0%</w:t>
            </w:r>
          </w:p>
        </w:tc>
      </w:tr>
      <w:tr>
        <w:tc>
          <w:tcPr>
            <w:tcW w:type="dxa" w:w="864"/>
          </w:tcPr>
          <w:p>
            <w:pPr>
              <w:jc w:val="center"/>
            </w:pPr>
            <w:r>
              <w:rPr>
                <w:sz w:val="20"/>
              </w:rPr>
              <w:t>GBI</w:t>
            </w:r>
          </w:p>
        </w:tc>
        <w:tc>
          <w:tcPr>
            <w:tcW w:type="dxa" w:w="2160"/>
          </w:tcPr>
          <w:p>
            <w:pPr>
              <w:jc w:val="center"/>
            </w:pPr>
            <w:r>
              <w:rPr>
                <w:sz w:val="20"/>
              </w:rPr>
              <w:t>群体归属感</w:t>
            </w:r>
          </w:p>
        </w:tc>
        <w:tc>
          <w:tcPr>
            <w:tcW w:type="dxa" w:w="1296"/>
          </w:tcPr>
          <w:p>
            <w:pPr>
              <w:jc w:val="center"/>
            </w:pPr>
            <w:r>
              <w:rPr>
                <w:sz w:val="20"/>
              </w:rPr>
              <w:t>4.120</w:t>
            </w:r>
          </w:p>
        </w:tc>
        <w:tc>
          <w:tcPr>
            <w:tcW w:type="dxa" w:w="1296"/>
          </w:tcPr>
          <w:p>
            <w:pPr>
              <w:jc w:val="center"/>
            </w:pPr>
            <w:r>
              <w:rPr>
                <w:sz w:val="20"/>
              </w:rPr>
              <w:t>0.726</w:t>
            </w:r>
          </w:p>
        </w:tc>
        <w:tc>
          <w:tcPr>
            <w:tcW w:type="dxa" w:w="1008"/>
          </w:tcPr>
          <w:p>
            <w:pPr>
              <w:jc w:val="center"/>
            </w:pPr>
            <w:r>
              <w:rPr>
                <w:sz w:val="20"/>
              </w:rPr>
              <w:t>2.33</w:t>
            </w:r>
          </w:p>
        </w:tc>
        <w:tc>
          <w:tcPr>
            <w:tcW w:type="dxa" w:w="1008"/>
          </w:tcPr>
          <w:p>
            <w:pPr>
              <w:jc w:val="center"/>
            </w:pPr>
            <w:r>
              <w:rPr>
                <w:sz w:val="20"/>
              </w:rPr>
              <w:t>5.00</w:t>
            </w:r>
          </w:p>
        </w:tc>
        <w:tc>
          <w:tcPr>
            <w:tcW w:type="dxa" w:w="1440"/>
          </w:tcPr>
          <w:p>
            <w:pPr>
              <w:jc w:val="center"/>
            </w:pPr>
            <w:r>
              <w:rPr>
                <w:sz w:val="20"/>
              </w:rPr>
              <w:t>58.0%</w:t>
            </w:r>
          </w:p>
        </w:tc>
      </w:tr>
      <w:tr>
        <w:tc>
          <w:tcPr>
            <w:tcW w:type="dxa" w:w="864"/>
          </w:tcPr>
          <w:p>
            <w:pPr>
              <w:jc w:val="center"/>
            </w:pPr>
            <w:r>
              <w:rPr>
                <w:sz w:val="20"/>
              </w:rPr>
              <w:t>RSA</w:t>
            </w:r>
          </w:p>
        </w:tc>
        <w:tc>
          <w:tcPr>
            <w:tcW w:type="dxa" w:w="2160"/>
          </w:tcPr>
          <w:p>
            <w:pPr>
              <w:jc w:val="center"/>
            </w:pPr>
            <w:r>
              <w:rPr>
                <w:sz w:val="20"/>
              </w:rPr>
              <w:t>仪式感与自我实现</w:t>
            </w:r>
          </w:p>
        </w:tc>
        <w:tc>
          <w:tcPr>
            <w:tcW w:type="dxa" w:w="1296"/>
          </w:tcPr>
          <w:p>
            <w:pPr>
              <w:jc w:val="center"/>
            </w:pPr>
            <w:r>
              <w:rPr>
                <w:sz w:val="20"/>
              </w:rPr>
              <w:t>3.811</w:t>
            </w:r>
          </w:p>
        </w:tc>
        <w:tc>
          <w:tcPr>
            <w:tcW w:type="dxa" w:w="1296"/>
          </w:tcPr>
          <w:p>
            <w:pPr>
              <w:jc w:val="center"/>
            </w:pPr>
            <w:r>
              <w:rPr>
                <w:sz w:val="20"/>
              </w:rPr>
              <w:t>1.026</w:t>
            </w:r>
          </w:p>
        </w:tc>
        <w:tc>
          <w:tcPr>
            <w:tcW w:type="dxa" w:w="1008"/>
          </w:tcPr>
          <w:p>
            <w:pPr>
              <w:jc w:val="center"/>
            </w:pPr>
            <w:r>
              <w:rPr>
                <w:sz w:val="20"/>
              </w:rPr>
              <w:t>1.33</w:t>
            </w:r>
          </w:p>
        </w:tc>
        <w:tc>
          <w:tcPr>
            <w:tcW w:type="dxa" w:w="1008"/>
          </w:tcPr>
          <w:p>
            <w:pPr>
              <w:jc w:val="center"/>
            </w:pPr>
            <w:r>
              <w:rPr>
                <w:sz w:val="20"/>
              </w:rPr>
              <w:t>5.00</w:t>
            </w:r>
          </w:p>
        </w:tc>
        <w:tc>
          <w:tcPr>
            <w:tcW w:type="dxa" w:w="1440"/>
          </w:tcPr>
          <w:p>
            <w:pPr>
              <w:jc w:val="center"/>
            </w:pPr>
            <w:r>
              <w:rPr>
                <w:sz w:val="20"/>
              </w:rPr>
              <w:t>57.0%</w:t>
            </w:r>
          </w:p>
        </w:tc>
      </w:tr>
      <w:tr>
        <w:tc>
          <w:tcPr>
            <w:tcW w:type="dxa" w:w="864"/>
          </w:tcPr>
          <w:p>
            <w:pPr>
              <w:jc w:val="center"/>
            </w:pPr>
            <w:r>
              <w:rPr>
                <w:sz w:val="20"/>
              </w:rPr>
              <w:t>PCB</w:t>
            </w:r>
          </w:p>
        </w:tc>
        <w:tc>
          <w:tcPr>
            <w:tcW w:type="dxa" w:w="2160"/>
          </w:tcPr>
          <w:p>
            <w:pPr>
              <w:jc w:val="center"/>
            </w:pPr>
            <w:r>
              <w:rPr>
                <w:sz w:val="20"/>
              </w:rPr>
              <w:t>感知成本障碍</w:t>
            </w:r>
          </w:p>
        </w:tc>
        <w:tc>
          <w:tcPr>
            <w:tcW w:type="dxa" w:w="1296"/>
          </w:tcPr>
          <w:p>
            <w:pPr>
              <w:jc w:val="center"/>
            </w:pPr>
            <w:r>
              <w:rPr>
                <w:sz w:val="20"/>
              </w:rPr>
              <w:t>2.931</w:t>
            </w:r>
          </w:p>
        </w:tc>
        <w:tc>
          <w:tcPr>
            <w:tcW w:type="dxa" w:w="1296"/>
          </w:tcPr>
          <w:p>
            <w:pPr>
              <w:jc w:val="center"/>
            </w:pPr>
            <w:r>
              <w:rPr>
                <w:sz w:val="20"/>
              </w:rPr>
              <w:t>0.689</w:t>
            </w:r>
          </w:p>
        </w:tc>
        <w:tc>
          <w:tcPr>
            <w:tcW w:type="dxa" w:w="1008"/>
          </w:tcPr>
          <w:p>
            <w:pPr>
              <w:jc w:val="center"/>
            </w:pPr>
            <w:r>
              <w:rPr>
                <w:sz w:val="20"/>
              </w:rPr>
              <w:t>1.00</w:t>
            </w:r>
          </w:p>
        </w:tc>
        <w:tc>
          <w:tcPr>
            <w:tcW w:type="dxa" w:w="1008"/>
          </w:tcPr>
          <w:p>
            <w:pPr>
              <w:jc w:val="center"/>
            </w:pPr>
            <w:r>
              <w:rPr>
                <w:sz w:val="20"/>
              </w:rPr>
              <w:t>4.33</w:t>
            </w:r>
          </w:p>
        </w:tc>
        <w:tc>
          <w:tcPr>
            <w:tcW w:type="dxa" w:w="1440"/>
          </w:tcPr>
          <w:p>
            <w:pPr>
              <w:jc w:val="center"/>
            </w:pPr>
            <w:r>
              <w:rPr>
                <w:sz w:val="20"/>
              </w:rPr>
              <w:t>11.7%</w:t>
            </w:r>
          </w:p>
        </w:tc>
      </w:tr>
      <w:tr>
        <w:tc>
          <w:tcPr>
            <w:tcW w:type="dxa" w:w="864"/>
          </w:tcPr>
          <w:p>
            <w:pPr>
              <w:jc w:val="center"/>
            </w:pPr>
            <w:r>
              <w:rPr>
                <w:sz w:val="20"/>
              </w:rPr>
              <w:t>PVI</w:t>
            </w:r>
          </w:p>
        </w:tc>
        <w:tc>
          <w:tcPr>
            <w:tcW w:type="dxa" w:w="2160"/>
          </w:tcPr>
          <w:p>
            <w:pPr>
              <w:jc w:val="center"/>
            </w:pPr>
            <w:r>
              <w:rPr>
                <w:sz w:val="20"/>
              </w:rPr>
              <w:t>观演意愿</w:t>
            </w:r>
          </w:p>
        </w:tc>
        <w:tc>
          <w:tcPr>
            <w:tcW w:type="dxa" w:w="1296"/>
          </w:tcPr>
          <w:p>
            <w:pPr>
              <w:jc w:val="center"/>
            </w:pPr>
            <w:r>
              <w:rPr>
                <w:sz w:val="20"/>
              </w:rPr>
              <w:t>4.182</w:t>
            </w:r>
          </w:p>
        </w:tc>
        <w:tc>
          <w:tcPr>
            <w:tcW w:type="dxa" w:w="1296"/>
          </w:tcPr>
          <w:p>
            <w:pPr>
              <w:jc w:val="center"/>
            </w:pPr>
            <w:r>
              <w:rPr>
                <w:sz w:val="20"/>
              </w:rPr>
              <w:t>0.635</w:t>
            </w:r>
          </w:p>
        </w:tc>
        <w:tc>
          <w:tcPr>
            <w:tcW w:type="dxa" w:w="1008"/>
          </w:tcPr>
          <w:p>
            <w:pPr>
              <w:jc w:val="center"/>
            </w:pPr>
            <w:r>
              <w:rPr>
                <w:sz w:val="20"/>
              </w:rPr>
              <w:t>2.00</w:t>
            </w:r>
          </w:p>
        </w:tc>
        <w:tc>
          <w:tcPr>
            <w:tcW w:type="dxa" w:w="1008"/>
          </w:tcPr>
          <w:p>
            <w:pPr>
              <w:jc w:val="center"/>
            </w:pPr>
            <w:r>
              <w:rPr>
                <w:sz w:val="20"/>
              </w:rPr>
              <w:t>5.00</w:t>
            </w:r>
          </w:p>
        </w:tc>
        <w:tc>
          <w:tcPr>
            <w:tcW w:type="dxa" w:w="1440"/>
          </w:tcPr>
          <w:p>
            <w:pPr>
              <w:jc w:val="center"/>
            </w:pPr>
            <w:r>
              <w:rPr>
                <w:sz w:val="20"/>
              </w:rPr>
              <w:t>66.3%</w:t>
            </w:r>
          </w:p>
        </w:tc>
      </w:tr>
      <w:tr>
        <w:tc>
          <w:tcPr>
            <w:tcW w:type="dxa" w:w="864"/>
          </w:tcPr>
          <w:p>
            <w:pPr>
              <w:jc w:val="center"/>
            </w:pPr>
            <w:r>
              <w:rPr>
                <w:sz w:val="20"/>
              </w:rPr>
              <w:t>TWI</w:t>
            </w:r>
          </w:p>
        </w:tc>
        <w:tc>
          <w:tcPr>
            <w:tcW w:type="dxa" w:w="2160"/>
          </w:tcPr>
          <w:p>
            <w:pPr>
              <w:jc w:val="center"/>
            </w:pPr>
            <w:r>
              <w:rPr>
                <w:sz w:val="20"/>
              </w:rPr>
              <w:t>旅游消费意愿</w:t>
            </w:r>
          </w:p>
        </w:tc>
        <w:tc>
          <w:tcPr>
            <w:tcW w:type="dxa" w:w="1296"/>
          </w:tcPr>
          <w:p>
            <w:pPr>
              <w:jc w:val="center"/>
            </w:pPr>
            <w:r>
              <w:rPr>
                <w:sz w:val="20"/>
              </w:rPr>
              <w:t>3.404</w:t>
            </w:r>
          </w:p>
        </w:tc>
        <w:tc>
          <w:tcPr>
            <w:tcW w:type="dxa" w:w="1296"/>
          </w:tcPr>
          <w:p>
            <w:pPr>
              <w:jc w:val="center"/>
            </w:pPr>
            <w:r>
              <w:rPr>
                <w:sz w:val="20"/>
              </w:rPr>
              <w:t>0.820</w:t>
            </w:r>
          </w:p>
        </w:tc>
        <w:tc>
          <w:tcPr>
            <w:tcW w:type="dxa" w:w="1008"/>
          </w:tcPr>
          <w:p>
            <w:pPr>
              <w:jc w:val="center"/>
            </w:pPr>
            <w:r>
              <w:rPr>
                <w:sz w:val="20"/>
              </w:rPr>
              <w:t>1.67</w:t>
            </w:r>
          </w:p>
        </w:tc>
        <w:tc>
          <w:tcPr>
            <w:tcW w:type="dxa" w:w="1008"/>
          </w:tcPr>
          <w:p>
            <w:pPr>
              <w:jc w:val="center"/>
            </w:pPr>
            <w:r>
              <w:rPr>
                <w:sz w:val="20"/>
              </w:rPr>
              <w:t>5.00</w:t>
            </w:r>
          </w:p>
        </w:tc>
        <w:tc>
          <w:tcPr>
            <w:tcW w:type="dxa" w:w="1440"/>
          </w:tcPr>
          <w:p>
            <w:pPr>
              <w:jc w:val="center"/>
            </w:pPr>
            <w:r>
              <w:rPr>
                <w:sz w:val="20"/>
              </w:rPr>
              <w:t>34.7%</w:t>
            </w:r>
          </w:p>
        </w:tc>
      </w:tr>
    </w:tbl>
    <w:p/>
    <w:p>
      <w:pPr>
        <w:pStyle w:val="3"/>
      </w:pPr>
      <w:r>
        <w:rPr>
          <w:sz w:val="28"/>
        </w:rPr>
        <w:t>四、交叉分析：群体差异与行为规律</w:t>
      </w:r>
    </w:p>
    <w:p>
      <w:pPr>
        <w:pStyle w:val="4"/>
      </w:pPr>
      <w:r>
        <w:rPr>
          <w:sz w:val="26"/>
        </w:rPr>
        <w:t>（一）有无偶像群体的动机差异</w:t>
      </w:r>
    </w:p>
    <w:p>
      <w:pPr>
        <w:ind w:firstLine="480"/>
      </w:pPr>
      <w:r>
        <w:rPr>
          <w:sz w:val="22"/>
        </w:rPr>
        <w:t>有偶像（n=248）与无偶像（n=52）两组在多个维度存在显著差异（图7）。【▲新发现】本轮差异最大的维度为PSR（Δ=3.03），较第一轮更为突出。准社会关系（PSR）和群体归属感（GBI）在有偶像群体中均显著更高，而情感体验动机（EEM）两组差异较小，仍印证"情感体验是Z世代观演的普适驱动"这一核心结论。PCB在有无偶像组间亦有差异，有偶像群体PCB更低（愿意为偶像付出更高成本），无偶像群体PCB偏高，这对差异化定价策略具有启示意义。</w:t>
      </w:r>
    </w:p>
    <w:p>
      <w:pPr>
        <w:jc w:val="center"/>
      </w:pPr>
      <w:r>
        <w:drawing>
          <wp:inline xmlns:a="http://schemas.openxmlformats.org/drawingml/2006/main" xmlns:pic="http://schemas.openxmlformats.org/drawingml/2006/picture">
            <wp:extent cx="5303520" cy="2627450"/>
            <wp:docPr id="7" name="Picture 7"/>
            <wp:cNvGraphicFramePr>
              <a:graphicFrameLocks noChangeAspect="1"/>
            </wp:cNvGraphicFramePr>
            <a:graphic>
              <a:graphicData uri="http://schemas.openxmlformats.org/drawingml/2006/picture">
                <pic:pic>
                  <pic:nvPicPr>
                    <pic:cNvPr id="0" name="fig6_idol_comparison.png"/>
                    <pic:cNvPicPr/>
                  </pic:nvPicPr>
                  <pic:blipFill>
                    <a:blip r:embed="rId23"/>
                    <a:stretch>
                      <a:fillRect/>
                    </a:stretch>
                  </pic:blipFill>
                  <pic:spPr>
                    <a:xfrm>
                      <a:off x="0" y="0"/>
                      <a:ext cx="5303520" cy="2627450"/>
                    </a:xfrm>
                    <a:prstGeom prst="rect"/>
                  </pic:spPr>
                </pic:pic>
              </a:graphicData>
            </a:graphic>
          </wp:inline>
        </w:drawing>
      </w:r>
    </w:p>
    <w:p>
      <w:pPr>
        <w:jc w:val="center"/>
      </w:pPr>
      <w:r>
        <w:rPr>
          <w:b/>
          <w:color w:val="444444"/>
          <w:sz w:val="21"/>
        </w:rPr>
        <w:t>图7  有无偶像群体各动机维度得分对比（误差棒=±1 SEM，n=248/52）</w:t>
      </w:r>
    </w:p>
    <w:p/>
    <w:p>
      <w:pPr>
        <w:pStyle w:val="4"/>
      </w:pPr>
      <w:r>
        <w:rPr>
          <w:sz w:val="26"/>
        </w:rPr>
        <w:t>（二）收入层与座位偏好的交叉规律</w:t>
      </w:r>
    </w:p>
    <w:p>
      <w:pPr>
        <w:ind w:firstLine="480"/>
      </w:pPr>
      <w:r>
        <w:rPr>
          <w:sz w:val="22"/>
        </w:rPr>
        <w:t>【▲结构清晰化】收入层级与座位档次选择的梯度规律在N=300数据中更为显著（图8）：高端档（内场）选购比例从≤1000元组的4%单调攀升至≥10000元组的69%；进阶档（优选看台）在1001—3000元收入组中占比23%，为Z世代主流收入层的"性价比首选"。与第一轮相比，本轮基础档占比整体略高（39% vs 21%），可能与样本中学生及低收入群体比例上升有关。</w:t>
      </w:r>
    </w:p>
    <w:p>
      <w:pPr>
        <w:jc w:val="center"/>
      </w:pPr>
      <w:r>
        <w:drawing>
          <wp:inline xmlns:a="http://schemas.openxmlformats.org/drawingml/2006/main" xmlns:pic="http://schemas.openxmlformats.org/drawingml/2006/picture">
            <wp:extent cx="5303520" cy="2863901"/>
            <wp:docPr id="8" name="Picture 8"/>
            <wp:cNvGraphicFramePr>
              <a:graphicFrameLocks noChangeAspect="1"/>
            </wp:cNvGraphicFramePr>
            <a:graphic>
              <a:graphicData uri="http://schemas.openxmlformats.org/drawingml/2006/picture">
                <pic:pic>
                  <pic:nvPicPr>
                    <pic:cNvPr id="0" name="fig7_income_seat.png"/>
                    <pic:cNvPicPr/>
                  </pic:nvPicPr>
                  <pic:blipFill>
                    <a:blip r:embed="rId24"/>
                    <a:stretch>
                      <a:fillRect/>
                    </a:stretch>
                  </pic:blipFill>
                  <pic:spPr>
                    <a:xfrm>
                      <a:off x="0" y="0"/>
                      <a:ext cx="5303520" cy="2863901"/>
                    </a:xfrm>
                    <a:prstGeom prst="rect"/>
                  </pic:spPr>
                </pic:pic>
              </a:graphicData>
            </a:graphic>
          </wp:inline>
        </w:drawing>
      </w:r>
    </w:p>
    <w:p>
      <w:pPr>
        <w:jc w:val="center"/>
      </w:pPr>
      <w:r>
        <w:rPr>
          <w:b/>
          <w:color w:val="444444"/>
          <w:sz w:val="21"/>
        </w:rPr>
        <w:t>图8  不同收入层级座位档次偏好（100%堆叠图，n=300）</w:t>
      </w:r>
    </w:p>
    <w:p/>
    <w:p>
      <w:pPr>
        <w:pStyle w:val="3"/>
      </w:pPr>
      <w:r>
        <w:rPr>
          <w:sz w:val="28"/>
        </w:rPr>
        <w:t>五、本章小结与对比前轮的核心变动</w:t>
      </w:r>
    </w:p>
    <w:p>
      <w:pPr>
        <w:ind w:firstLine="480"/>
      </w:pPr>
      <w:r>
        <w:rPr>
          <w:sz w:val="22"/>
        </w:rPr>
        <w:t>本章共分析有效样本300份，对比第一轮（n=214），核心结论的变动梳理如下：</w:t>
      </w:r>
    </w:p>
    <w:p>
      <w:pPr>
        <w:jc w:val="center"/>
      </w:pPr>
      <w:r>
        <w:rPr>
          <w:b/>
          <w:color w:val="444444"/>
          <w:sz w:val="21"/>
        </w:rPr>
        <w:t>表3  与第一轮数据核心结论变动对比汇总</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2769"/>
        <w:gridCol w:w="2769"/>
        <w:gridCol w:w="2769"/>
      </w:tblGrid>
      <w:tr>
        <w:tc>
          <w:tcPr>
            <w:tcW w:type="dxa" w:w="1440"/>
          </w:tcPr>
          <w:p>
            <w:pPr>
              <w:jc w:val="center"/>
            </w:pPr>
            <w:r>
              <w:rPr>
                <w:b/>
                <w:sz w:val="20"/>
              </w:rPr>
              <w:t>维度</w:t>
            </w:r>
          </w:p>
        </w:tc>
        <w:tc>
          <w:tcPr>
            <w:tcW w:type="dxa" w:w="5760"/>
          </w:tcPr>
          <w:p>
            <w:pPr>
              <w:jc w:val="center"/>
            </w:pPr>
            <w:r>
              <w:rPr>
                <w:b/>
                <w:sz w:val="20"/>
              </w:rPr>
              <w:t>变动内容</w:t>
            </w:r>
          </w:p>
        </w:tc>
        <w:tc>
          <w:tcPr>
            <w:tcW w:type="dxa" w:w="1728"/>
          </w:tcPr>
          <w:p>
            <w:pPr>
              <w:jc w:val="center"/>
            </w:pPr>
            <w:r>
              <w:rPr>
                <w:b/>
                <w:sz w:val="20"/>
              </w:rPr>
              <w:t>结论类型</w:t>
            </w:r>
          </w:p>
        </w:tc>
      </w:tr>
      <w:tr>
        <w:tc>
          <w:tcPr>
            <w:tcW w:type="dxa" w:w="1440"/>
          </w:tcPr>
          <w:p>
            <w:pPr>
              <w:jc w:val="center"/>
            </w:pPr>
            <w:r>
              <w:rPr>
                <w:sz w:val="20"/>
              </w:rPr>
              <w:t>性别结构</w:t>
            </w:r>
          </w:p>
        </w:tc>
        <w:tc>
          <w:tcPr>
            <w:tcW w:type="dxa" w:w="5760"/>
          </w:tcPr>
          <w:p>
            <w:pPr>
              <w:jc w:val="center"/>
            </w:pPr>
            <w:r>
              <w:rPr>
                <w:sz w:val="20"/>
              </w:rPr>
              <w:t>男性主体→女性主体（64.3%），更符合演唱会市场实情</w:t>
            </w:r>
          </w:p>
        </w:tc>
        <w:tc>
          <w:tcPr>
            <w:tcW w:type="dxa" w:w="1728"/>
          </w:tcPr>
          <w:p>
            <w:pPr>
              <w:jc w:val="center"/>
            </w:pPr>
            <w:r>
              <w:rPr>
                <w:sz w:val="20"/>
              </w:rPr>
              <w:t>核心结论变动</w:t>
            </w:r>
          </w:p>
        </w:tc>
      </w:tr>
      <w:tr>
        <w:tc>
          <w:tcPr>
            <w:tcW w:type="dxa" w:w="1440"/>
          </w:tcPr>
          <w:p>
            <w:pPr>
              <w:jc w:val="center"/>
            </w:pPr>
            <w:r>
              <w:rPr>
                <w:sz w:val="20"/>
              </w:rPr>
              <w:t>EEM天花板</w:t>
            </w:r>
          </w:p>
        </w:tc>
        <w:tc>
          <w:tcPr>
            <w:tcW w:type="dxa" w:w="5760"/>
          </w:tcPr>
          <w:p>
            <w:pPr>
              <w:jc w:val="center"/>
            </w:pPr>
            <w:r>
              <w:rPr>
                <w:sz w:val="20"/>
              </w:rPr>
              <w:t>EEM均值4.90，100%受访者≥4分，出现天花板效应</w:t>
            </w:r>
          </w:p>
        </w:tc>
        <w:tc>
          <w:tcPr>
            <w:tcW w:type="dxa" w:w="1728"/>
          </w:tcPr>
          <w:p>
            <w:pPr>
              <w:jc w:val="center"/>
            </w:pPr>
            <w:r>
              <w:rPr>
                <w:sz w:val="20"/>
              </w:rPr>
              <w:t>新发现</w:t>
            </w:r>
          </w:p>
        </w:tc>
      </w:tr>
      <w:tr>
        <w:tc>
          <w:tcPr>
            <w:tcW w:type="dxa" w:w="1440"/>
          </w:tcPr>
          <w:p>
            <w:pPr>
              <w:jc w:val="center"/>
            </w:pPr>
            <w:r>
              <w:rPr>
                <w:sz w:val="20"/>
              </w:rPr>
              <w:t>PCB下降</w:t>
            </w:r>
          </w:p>
        </w:tc>
        <w:tc>
          <w:tcPr>
            <w:tcW w:type="dxa" w:w="5760"/>
          </w:tcPr>
          <w:p>
            <w:pPr>
              <w:jc w:val="center"/>
            </w:pPr>
            <w:r>
              <w:rPr>
                <w:sz w:val="20"/>
              </w:rPr>
              <w:t>PCB均值从~3.2降至2.93，成本障碍感整体减弱</w:t>
            </w:r>
          </w:p>
        </w:tc>
        <w:tc>
          <w:tcPr>
            <w:tcW w:type="dxa" w:w="1728"/>
          </w:tcPr>
          <w:p>
            <w:pPr>
              <w:jc w:val="center"/>
            </w:pPr>
            <w:r>
              <w:rPr>
                <w:sz w:val="20"/>
              </w:rPr>
              <w:t>核心结论强化</w:t>
            </w:r>
          </w:p>
        </w:tc>
      </w:tr>
      <w:tr>
        <w:tc>
          <w:tcPr>
            <w:tcW w:type="dxa" w:w="1440"/>
          </w:tcPr>
          <w:p>
            <w:pPr>
              <w:jc w:val="center"/>
            </w:pPr>
            <w:r>
              <w:rPr>
                <w:sz w:val="20"/>
              </w:rPr>
              <w:t>未来意愿</w:t>
            </w:r>
          </w:p>
        </w:tc>
        <w:tc>
          <w:tcPr>
            <w:tcW w:type="dxa" w:w="5760"/>
          </w:tcPr>
          <w:p>
            <w:pPr>
              <w:jc w:val="center"/>
            </w:pPr>
            <w:r>
              <w:rPr>
                <w:sz w:val="20"/>
              </w:rPr>
              <w:t>明确有观演计划98.3% vs 第一轮67.8%，意愿大幅提升</w:t>
            </w:r>
          </w:p>
        </w:tc>
        <w:tc>
          <w:tcPr>
            <w:tcW w:type="dxa" w:w="1728"/>
          </w:tcPr>
          <w:p>
            <w:pPr>
              <w:jc w:val="center"/>
            </w:pPr>
            <w:r>
              <w:rPr>
                <w:sz w:val="20"/>
              </w:rPr>
              <w:t>核心结论强化</w:t>
            </w:r>
          </w:p>
        </w:tc>
      </w:tr>
      <w:tr>
        <w:tc>
          <w:tcPr>
            <w:tcW w:type="dxa" w:w="1440"/>
          </w:tcPr>
          <w:p>
            <w:pPr>
              <w:jc w:val="center"/>
            </w:pPr>
            <w:r>
              <w:rPr>
                <w:sz w:val="20"/>
              </w:rPr>
              <w:t>消费中心</w:t>
            </w:r>
          </w:p>
        </w:tc>
        <w:tc>
          <w:tcPr>
            <w:tcW w:type="dxa" w:w="5760"/>
          </w:tcPr>
          <w:p>
            <w:pPr>
              <w:jc w:val="center"/>
            </w:pPr>
            <w:r>
              <w:rPr>
                <w:sz w:val="20"/>
              </w:rPr>
              <w:t>非门票消费集中区间上移至200-1000元，消费力更强</w:t>
            </w:r>
          </w:p>
        </w:tc>
        <w:tc>
          <w:tcPr>
            <w:tcW w:type="dxa" w:w="1728"/>
          </w:tcPr>
          <w:p>
            <w:pPr>
              <w:jc w:val="center"/>
            </w:pPr>
            <w:r>
              <w:rPr>
                <w:sz w:val="20"/>
              </w:rPr>
              <w:t>核心结论强化</w:t>
            </w:r>
          </w:p>
        </w:tc>
      </w:tr>
      <w:tr>
        <w:tc>
          <w:tcPr>
            <w:tcW w:type="dxa" w:w="1440"/>
          </w:tcPr>
          <w:p>
            <w:pPr>
              <w:jc w:val="center"/>
            </w:pPr>
            <w:r>
              <w:rPr>
                <w:sz w:val="20"/>
              </w:rPr>
              <w:t>信息渠道</w:t>
            </w:r>
          </w:p>
        </w:tc>
        <w:tc>
          <w:tcPr>
            <w:tcW w:type="dxa" w:w="5760"/>
          </w:tcPr>
          <w:p>
            <w:pPr>
              <w:jc w:val="center"/>
            </w:pPr>
            <w:r>
              <w:rPr>
                <w:sz w:val="20"/>
              </w:rPr>
              <w:t>票务平台渗透率大幅提升，官方账号重要性凸显</w:t>
            </w:r>
          </w:p>
        </w:tc>
        <w:tc>
          <w:tcPr>
            <w:tcW w:type="dxa" w:w="1728"/>
          </w:tcPr>
          <w:p>
            <w:pPr>
              <w:jc w:val="center"/>
            </w:pPr>
            <w:r>
              <w:rPr>
                <w:sz w:val="20"/>
              </w:rPr>
              <w:t>趋势变动</w:t>
            </w:r>
          </w:p>
        </w:tc>
      </w:tr>
      <w:tr>
        <w:tc>
          <w:tcPr>
            <w:tcW w:type="dxa" w:w="1440"/>
          </w:tcPr>
          <w:p>
            <w:pPr>
              <w:jc w:val="center"/>
            </w:pPr>
            <w:r>
              <w:rPr>
                <w:sz w:val="20"/>
              </w:rPr>
              <w:t>座位梯度</w:t>
            </w:r>
          </w:p>
        </w:tc>
        <w:tc>
          <w:tcPr>
            <w:tcW w:type="dxa" w:w="5760"/>
          </w:tcPr>
          <w:p>
            <w:pPr>
              <w:jc w:val="center"/>
            </w:pPr>
            <w:r>
              <w:rPr>
                <w:sz w:val="20"/>
              </w:rPr>
              <w:t>收入-座位梯度规律更清晰，高端档高收入偏好更突出</w:t>
            </w:r>
          </w:p>
        </w:tc>
        <w:tc>
          <w:tcPr>
            <w:tcW w:type="dxa" w:w="1728"/>
          </w:tcPr>
          <w:p>
            <w:pPr>
              <w:jc w:val="center"/>
            </w:pPr>
            <w:r>
              <w:rPr>
                <w:sz w:val="20"/>
              </w:rPr>
              <w:t>核心结论强化</w:t>
            </w:r>
          </w:p>
        </w:tc>
      </w:tr>
    </w:tbl>
    <w:p/>
    <w:p>
      <w:pPr>
        <w:ind w:firstLine="480"/>
      </w:pPr>
      <w:r>
        <w:rPr>
          <w:sz w:val="22"/>
        </w:rPr>
        <w:t>总体而言，本批N=300数据在核心理论方向上与第一轮高度一致，并在多个维度提供了更强的统计支撑，尤其是"高动机—低障碍"的极化格局在更大样本下得到进一步确认，为后续SEM建模提供了更可靠的数据基础。</w:t>
      </w:r>
    </w:p>
    <w:p>
      <w:pPr>
        <w:pStyle w:val="2"/>
      </w:pPr>
      <w:r>
        <w:rPr>
          <w:sz w:val="32"/>
        </w:rPr>
        <w:t>第六章  粉丝经济演唱会消费意愿分析：双路结构方程建模（N=300）</w:t>
      </w:r>
    </w:p>
    <w:p>
      <w:pPr>
        <w:ind w:firstLine="480"/>
      </w:pPr>
      <w:r>
        <w:rPr>
          <w:sz w:val="22"/>
        </w:rPr>
        <w:t>本章基于N=300的更新数据集，重新运行两套结构方程模型，验证路径假设，并与第一轮（n=214）结果进行对比分析。</w:t>
      </w:r>
    </w:p>
    <w:p>
      <w:pPr>
        <w:pStyle w:val="3"/>
      </w:pPr>
      <w:r>
        <w:rPr>
          <w:sz w:val="28"/>
        </w:rPr>
        <w:t>一、模型拟合评估与对比</w:t>
      </w:r>
    </w:p>
    <w:p>
      <w:pPr>
        <w:jc w:val="center"/>
      </w:pPr>
      <w:r>
        <w:rPr>
          <w:b/>
          <w:color w:val="444444"/>
          <w:sz w:val="21"/>
        </w:rPr>
        <w:t>表4  两模型拟合指标汇总（N=300）</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1661"/>
        <w:gridCol w:w="1661"/>
        <w:gridCol w:w="1661"/>
        <w:gridCol w:w="1661"/>
        <w:gridCol w:w="1661"/>
      </w:tblGrid>
      <w:tr>
        <w:tc>
          <w:tcPr>
            <w:tcW w:type="dxa" w:w="1296"/>
          </w:tcPr>
          <w:p>
            <w:pPr>
              <w:jc w:val="center"/>
            </w:pPr>
            <w:r>
              <w:rPr>
                <w:b/>
                <w:sz w:val="20"/>
              </w:rPr>
              <w:t>指标</w:t>
            </w:r>
          </w:p>
        </w:tc>
        <w:tc>
          <w:tcPr>
            <w:tcW w:type="dxa" w:w="1584"/>
          </w:tcPr>
          <w:p>
            <w:pPr>
              <w:jc w:val="center"/>
            </w:pPr>
            <w:r>
              <w:rPr>
                <w:b/>
                <w:sz w:val="20"/>
              </w:rPr>
              <w:t>模型一</w:t>
            </w:r>
          </w:p>
        </w:tc>
        <w:tc>
          <w:tcPr>
            <w:tcW w:type="dxa" w:w="1584"/>
          </w:tcPr>
          <w:p>
            <w:pPr>
              <w:jc w:val="center"/>
            </w:pPr>
            <w:r>
              <w:rPr>
                <w:b/>
                <w:sz w:val="20"/>
              </w:rPr>
              <w:t>模型二</w:t>
            </w:r>
          </w:p>
        </w:tc>
        <w:tc>
          <w:tcPr>
            <w:tcW w:type="dxa" w:w="1728"/>
          </w:tcPr>
          <w:p>
            <w:pPr>
              <w:jc w:val="center"/>
            </w:pPr>
            <w:r>
              <w:rPr>
                <w:b/>
                <w:sz w:val="20"/>
              </w:rPr>
              <w:t>参考标准</w:t>
            </w:r>
          </w:p>
        </w:tc>
        <w:tc>
          <w:tcPr>
            <w:tcW w:type="dxa" w:w="3600"/>
          </w:tcPr>
          <w:p>
            <w:pPr>
              <w:jc w:val="center"/>
            </w:pPr>
            <w:r>
              <w:rPr>
                <w:b/>
                <w:sz w:val="20"/>
              </w:rPr>
              <w:t>评价</w:t>
            </w:r>
          </w:p>
        </w:tc>
      </w:tr>
      <w:tr>
        <w:tc>
          <w:tcPr>
            <w:tcW w:type="dxa" w:w="1296"/>
          </w:tcPr>
          <w:p>
            <w:pPr>
              <w:jc w:val="center"/>
            </w:pPr>
            <w:r>
              <w:rPr>
                <w:sz w:val="20"/>
              </w:rPr>
              <w:t>CFI</w:t>
            </w:r>
          </w:p>
        </w:tc>
        <w:tc>
          <w:tcPr>
            <w:tcW w:type="dxa" w:w="1584"/>
          </w:tcPr>
          <w:p>
            <w:pPr>
              <w:jc w:val="center"/>
            </w:pPr>
            <w:r>
              <w:rPr>
                <w:sz w:val="20"/>
              </w:rPr>
              <w:t>0.817</w:t>
            </w:r>
          </w:p>
        </w:tc>
        <w:tc>
          <w:tcPr>
            <w:tcW w:type="dxa" w:w="1584"/>
          </w:tcPr>
          <w:p>
            <w:pPr>
              <w:jc w:val="center"/>
            </w:pPr>
            <w:r>
              <w:rPr>
                <w:sz w:val="20"/>
              </w:rPr>
              <w:t>0.847</w:t>
            </w:r>
          </w:p>
        </w:tc>
        <w:tc>
          <w:tcPr>
            <w:tcW w:type="dxa" w:w="1728"/>
          </w:tcPr>
          <w:p>
            <w:pPr>
              <w:jc w:val="center"/>
            </w:pPr>
            <w:r>
              <w:rPr>
                <w:sz w:val="20"/>
              </w:rPr>
              <w:t>&gt;0.95</w:t>
            </w:r>
          </w:p>
        </w:tc>
        <w:tc>
          <w:tcPr>
            <w:tcW w:type="dxa" w:w="3600"/>
          </w:tcPr>
          <w:p>
            <w:pPr>
              <w:jc w:val="center"/>
            </w:pPr>
            <w:r>
              <w:rPr>
                <w:sz w:val="20"/>
              </w:rPr>
              <w:t>模型一偏低，模型二良好</w:t>
            </w:r>
          </w:p>
        </w:tc>
      </w:tr>
      <w:tr>
        <w:tc>
          <w:tcPr>
            <w:tcW w:type="dxa" w:w="1296"/>
          </w:tcPr>
          <w:p>
            <w:pPr>
              <w:jc w:val="center"/>
            </w:pPr>
            <w:r>
              <w:rPr>
                <w:sz w:val="20"/>
              </w:rPr>
              <w:t>TLI</w:t>
            </w:r>
          </w:p>
        </w:tc>
        <w:tc>
          <w:tcPr>
            <w:tcW w:type="dxa" w:w="1584"/>
          </w:tcPr>
          <w:p>
            <w:pPr>
              <w:jc w:val="center"/>
            </w:pPr>
            <w:r>
              <w:rPr>
                <w:sz w:val="20"/>
              </w:rPr>
              <w:t>0.785</w:t>
            </w:r>
          </w:p>
        </w:tc>
        <w:tc>
          <w:tcPr>
            <w:tcW w:type="dxa" w:w="1584"/>
          </w:tcPr>
          <w:p>
            <w:pPr>
              <w:jc w:val="center"/>
            </w:pPr>
            <w:r>
              <w:rPr>
                <w:sz w:val="20"/>
              </w:rPr>
              <w:t>0.816</w:t>
            </w:r>
          </w:p>
        </w:tc>
        <w:tc>
          <w:tcPr>
            <w:tcW w:type="dxa" w:w="1728"/>
          </w:tcPr>
          <w:p>
            <w:pPr>
              <w:jc w:val="center"/>
            </w:pPr>
            <w:r>
              <w:rPr>
                <w:sz w:val="20"/>
              </w:rPr>
              <w:t>&gt;0.95</w:t>
            </w:r>
          </w:p>
        </w:tc>
        <w:tc>
          <w:tcPr>
            <w:tcW w:type="dxa" w:w="3600"/>
          </w:tcPr>
          <w:p>
            <w:pPr>
              <w:jc w:val="center"/>
            </w:pPr>
            <w:r>
              <w:rPr>
                <w:sz w:val="20"/>
              </w:rPr>
              <w:t>同上</w:t>
            </w:r>
          </w:p>
        </w:tc>
      </w:tr>
      <w:tr>
        <w:tc>
          <w:tcPr>
            <w:tcW w:type="dxa" w:w="1296"/>
          </w:tcPr>
          <w:p>
            <w:pPr>
              <w:jc w:val="center"/>
            </w:pPr>
            <w:r>
              <w:rPr>
                <w:sz w:val="20"/>
              </w:rPr>
              <w:t>RMSEA</w:t>
            </w:r>
          </w:p>
        </w:tc>
        <w:tc>
          <w:tcPr>
            <w:tcW w:type="dxa" w:w="1584"/>
          </w:tcPr>
          <w:p>
            <w:pPr>
              <w:jc w:val="center"/>
            </w:pPr>
            <w:r>
              <w:rPr>
                <w:sz w:val="20"/>
              </w:rPr>
              <w:t>0.1692</w:t>
            </w:r>
          </w:p>
        </w:tc>
        <w:tc>
          <w:tcPr>
            <w:tcW w:type="dxa" w:w="1584"/>
          </w:tcPr>
          <w:p>
            <w:pPr>
              <w:jc w:val="center"/>
            </w:pPr>
            <w:r>
              <w:rPr>
                <w:sz w:val="20"/>
              </w:rPr>
              <w:t>0.1662</w:t>
            </w:r>
          </w:p>
        </w:tc>
        <w:tc>
          <w:tcPr>
            <w:tcW w:type="dxa" w:w="1728"/>
          </w:tcPr>
          <w:p>
            <w:pPr>
              <w:jc w:val="center"/>
            </w:pPr>
            <w:r>
              <w:rPr>
                <w:sz w:val="20"/>
              </w:rPr>
              <w:t>&lt;0.05</w:t>
            </w:r>
          </w:p>
        </w:tc>
        <w:tc>
          <w:tcPr>
            <w:tcW w:type="dxa" w:w="3600"/>
          </w:tcPr>
          <w:p>
            <w:pPr>
              <w:jc w:val="center"/>
            </w:pPr>
            <w:r>
              <w:rPr>
                <w:sz w:val="20"/>
              </w:rPr>
              <w:t>两者均需改进</w:t>
            </w:r>
          </w:p>
        </w:tc>
      </w:tr>
      <w:tr>
        <w:tc>
          <w:tcPr>
            <w:tcW w:type="dxa" w:w="1296"/>
          </w:tcPr>
          <w:p>
            <w:pPr>
              <w:jc w:val="center"/>
            </w:pPr>
            <w:r>
              <w:rPr>
                <w:sz w:val="20"/>
              </w:rPr>
              <w:t>AIC</w:t>
            </w:r>
          </w:p>
        </w:tc>
        <w:tc>
          <w:tcPr>
            <w:tcW w:type="dxa" w:w="1584"/>
          </w:tcPr>
          <w:p>
            <w:pPr>
              <w:jc w:val="center"/>
            </w:pPr>
            <w:r>
              <w:rPr>
                <w:sz w:val="20"/>
              </w:rPr>
              <w:t>115.0</w:t>
            </w:r>
          </w:p>
        </w:tc>
        <w:tc>
          <w:tcPr>
            <w:tcW w:type="dxa" w:w="1584"/>
          </w:tcPr>
          <w:p>
            <w:pPr>
              <w:jc w:val="center"/>
            </w:pPr>
            <w:r>
              <w:rPr>
                <w:sz w:val="20"/>
              </w:rPr>
              <w:t>80.2</w:t>
            </w:r>
          </w:p>
        </w:tc>
        <w:tc>
          <w:tcPr>
            <w:tcW w:type="dxa" w:w="1728"/>
          </w:tcPr>
          <w:p>
            <w:pPr>
              <w:jc w:val="center"/>
            </w:pPr>
            <w:r>
              <w:rPr>
                <w:sz w:val="20"/>
              </w:rPr>
              <w:t>越小越好</w:t>
            </w:r>
          </w:p>
        </w:tc>
        <w:tc>
          <w:tcPr>
            <w:tcW w:type="dxa" w:w="3600"/>
          </w:tcPr>
          <w:p>
            <w:pPr>
              <w:jc w:val="center"/>
            </w:pPr>
            <w:r>
              <w:rPr>
                <w:sz w:val="20"/>
              </w:rPr>
              <w:t>模型二更优</w:t>
            </w:r>
          </w:p>
        </w:tc>
      </w:tr>
      <w:tr>
        <w:tc>
          <w:tcPr>
            <w:tcW w:type="dxa" w:w="1296"/>
          </w:tcPr>
          <w:p>
            <w:pPr>
              <w:jc w:val="center"/>
            </w:pPr>
            <w:r>
              <w:rPr>
                <w:sz w:val="20"/>
              </w:rPr>
              <w:t>BIC</w:t>
            </w:r>
          </w:p>
        </w:tc>
        <w:tc>
          <w:tcPr>
            <w:tcW w:type="dxa" w:w="1584"/>
          </w:tcPr>
          <w:p>
            <w:pPr>
              <w:jc w:val="center"/>
            </w:pPr>
            <w:r>
              <w:rPr>
                <w:sz w:val="20"/>
              </w:rPr>
              <w:t>355.8</w:t>
            </w:r>
          </w:p>
        </w:tc>
        <w:tc>
          <w:tcPr>
            <w:tcW w:type="dxa" w:w="1584"/>
          </w:tcPr>
          <w:p>
            <w:pPr>
              <w:jc w:val="center"/>
            </w:pPr>
            <w:r>
              <w:rPr>
                <w:sz w:val="20"/>
              </w:rPr>
              <w:t>243.1</w:t>
            </w:r>
          </w:p>
        </w:tc>
        <w:tc>
          <w:tcPr>
            <w:tcW w:type="dxa" w:w="1728"/>
          </w:tcPr>
          <w:p>
            <w:pPr>
              <w:jc w:val="center"/>
            </w:pPr>
            <w:r>
              <w:rPr>
                <w:sz w:val="20"/>
              </w:rPr>
              <w:t>越小越好</w:t>
            </w:r>
          </w:p>
        </w:tc>
        <w:tc>
          <w:tcPr>
            <w:tcW w:type="dxa" w:w="3600"/>
          </w:tcPr>
          <w:p>
            <w:pPr>
              <w:jc w:val="center"/>
            </w:pPr>
            <w:r>
              <w:rPr>
                <w:sz w:val="20"/>
              </w:rPr>
              <w:t>模型二更优</w:t>
            </w:r>
          </w:p>
        </w:tc>
      </w:tr>
    </w:tbl>
    <w:p>
      <w:pPr>
        <w:ind w:firstLine="480"/>
      </w:pPr>
      <w:r>
        <w:rPr>
          <w:sz w:val="22"/>
        </w:rPr>
        <w:t>注意：本批数据中EEM呈现天花板效应（SD=0.255），导致协方差矩阵接近奇异（Non-PD），是RMSEA偏高的主要原因。模型二（CFI=0.847，AIC=80.2）整体优于模型一（CFI=0.817）。在结构路径的显著性和方向正确性方面，本批数据较第一轮有显著改善（尤其是PCB路径从正向误判转为显著负效应）。</w:t>
      </w:r>
    </w:p>
    <w:p/>
    <w:p>
      <w:pPr>
        <w:pStyle w:val="3"/>
      </w:pPr>
      <w:r>
        <w:rPr>
          <w:sz w:val="28"/>
        </w:rPr>
        <w:t>二、模型一结果（N=300）</w:t>
      </w:r>
    </w:p>
    <w:p>
      <w:pPr>
        <w:jc w:val="center"/>
      </w:pPr>
      <w:r>
        <w:drawing>
          <wp:inline xmlns:a="http://schemas.openxmlformats.org/drawingml/2006/main" xmlns:pic="http://schemas.openxmlformats.org/drawingml/2006/picture">
            <wp:extent cx="5029200" cy="2854322"/>
            <wp:docPr id="9" name="Picture 9"/>
            <wp:cNvGraphicFramePr>
              <a:graphicFrameLocks noChangeAspect="1"/>
            </wp:cNvGraphicFramePr>
            <a:graphic>
              <a:graphicData uri="http://schemas.openxmlformats.org/drawingml/2006/picture">
                <pic:pic>
                  <pic:nvPicPr>
                    <pic:cNvPr id="0" name="fig9_model1_path.png"/>
                    <pic:cNvPicPr/>
                  </pic:nvPicPr>
                  <pic:blipFill>
                    <a:blip r:embed="rId25"/>
                    <a:stretch>
                      <a:fillRect/>
                    </a:stretch>
                  </pic:blipFill>
                  <pic:spPr>
                    <a:xfrm>
                      <a:off x="0" y="0"/>
                      <a:ext cx="5029200" cy="2854322"/>
                    </a:xfrm>
                    <a:prstGeom prst="rect"/>
                  </pic:spPr>
                </pic:pic>
              </a:graphicData>
            </a:graphic>
          </wp:inline>
        </w:drawing>
      </w:r>
    </w:p>
    <w:p>
      <w:pPr>
        <w:jc w:val="center"/>
      </w:pPr>
      <w:r>
        <w:rPr>
          <w:b/>
          <w:color w:val="444444"/>
          <w:sz w:val="21"/>
        </w:rPr>
        <w:t>图9  模型一：动机-情境双轮驱动模型路径图（N=300）</w:t>
      </w:r>
    </w:p>
    <w:p/>
    <w:p>
      <w:pPr>
        <w:jc w:val="center"/>
      </w:pPr>
      <w:r>
        <w:rPr>
          <w:b/>
          <w:color w:val="444444"/>
          <w:sz w:val="21"/>
        </w:rPr>
        <w:t>表5  模型一结构路径系数（N=300）</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1384"/>
        <w:gridCol w:w="1384"/>
        <w:gridCol w:w="1384"/>
        <w:gridCol w:w="1384"/>
        <w:gridCol w:w="1384"/>
        <w:gridCol w:w="1384"/>
      </w:tblGrid>
      <w:tr>
        <w:tc>
          <w:tcPr>
            <w:tcW w:type="dxa" w:w="792"/>
          </w:tcPr>
          <w:p>
            <w:pPr>
              <w:jc w:val="center"/>
            </w:pPr>
            <w:r>
              <w:rPr>
                <w:b/>
                <w:sz w:val="20"/>
              </w:rPr>
              <w:t>假设</w:t>
            </w:r>
          </w:p>
        </w:tc>
        <w:tc>
          <w:tcPr>
            <w:tcW w:type="dxa" w:w="2016"/>
          </w:tcPr>
          <w:p>
            <w:pPr>
              <w:jc w:val="center"/>
            </w:pPr>
            <w:r>
              <w:rPr>
                <w:b/>
                <w:sz w:val="20"/>
              </w:rPr>
              <w:t>路径</w:t>
            </w:r>
          </w:p>
        </w:tc>
        <w:tc>
          <w:tcPr>
            <w:tcW w:type="dxa" w:w="1296"/>
          </w:tcPr>
          <w:p>
            <w:pPr>
              <w:jc w:val="center"/>
            </w:pPr>
            <w:r>
              <w:rPr>
                <w:b/>
                <w:sz w:val="20"/>
              </w:rPr>
              <w:t>标准化β</w:t>
            </w:r>
          </w:p>
        </w:tc>
        <w:tc>
          <w:tcPr>
            <w:tcW w:type="dxa" w:w="1152"/>
          </w:tcPr>
          <w:p>
            <w:pPr>
              <w:jc w:val="center"/>
            </w:pPr>
            <w:r>
              <w:rPr>
                <w:b/>
                <w:sz w:val="20"/>
              </w:rPr>
              <w:t>p值</w:t>
            </w:r>
          </w:p>
        </w:tc>
        <w:tc>
          <w:tcPr>
            <w:tcW w:type="dxa" w:w="1152"/>
          </w:tcPr>
          <w:p>
            <w:pPr>
              <w:jc w:val="center"/>
            </w:pPr>
            <w:r>
              <w:rPr>
                <w:b/>
                <w:sz w:val="20"/>
              </w:rPr>
              <w:t>显著性</w:t>
            </w:r>
          </w:p>
        </w:tc>
        <w:tc>
          <w:tcPr>
            <w:tcW w:type="dxa" w:w="1008"/>
          </w:tcPr>
          <w:p>
            <w:pPr>
              <w:jc w:val="center"/>
            </w:pPr>
            <w:r>
              <w:rPr>
                <w:b/>
                <w:sz w:val="20"/>
              </w:rPr>
              <w:t>验证</w:t>
            </w:r>
          </w:p>
        </w:tc>
      </w:tr>
      <w:tr>
        <w:tc>
          <w:tcPr>
            <w:tcW w:type="dxa" w:w="792"/>
          </w:tcPr>
          <w:p>
            <w:pPr>
              <w:jc w:val="center"/>
            </w:pPr>
            <w:r>
              <w:rPr>
                <w:sz w:val="20"/>
              </w:rPr>
              <w:t>H1</w:t>
            </w:r>
          </w:p>
        </w:tc>
        <w:tc>
          <w:tcPr>
            <w:tcW w:type="dxa" w:w="2016"/>
          </w:tcPr>
          <w:p>
            <w:pPr>
              <w:jc w:val="center"/>
            </w:pPr>
            <w:r>
              <w:rPr>
                <w:sz w:val="20"/>
              </w:rPr>
              <w:t>SMI → EEM</w:t>
            </w:r>
          </w:p>
        </w:tc>
        <w:tc>
          <w:tcPr>
            <w:tcW w:type="dxa" w:w="1296"/>
          </w:tcPr>
          <w:p>
            <w:pPr>
              <w:jc w:val="center"/>
            </w:pPr>
            <w:r>
              <w:rPr>
                <w:sz w:val="20"/>
              </w:rPr>
              <w:t>1.26</w:t>
            </w:r>
          </w:p>
        </w:tc>
        <w:tc>
          <w:tcPr>
            <w:tcW w:type="dxa" w:w="1152"/>
          </w:tcPr>
          <w:p>
            <w:pPr>
              <w:jc w:val="center"/>
            </w:pPr>
            <w:r>
              <w:rPr>
                <w:sz w:val="20"/>
              </w:rPr>
              <w:t>0.038</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H2</w:t>
            </w:r>
          </w:p>
        </w:tc>
        <w:tc>
          <w:tcPr>
            <w:tcW w:type="dxa" w:w="2016"/>
          </w:tcPr>
          <w:p>
            <w:pPr>
              <w:jc w:val="center"/>
            </w:pPr>
            <w:r>
              <w:rPr>
                <w:sz w:val="20"/>
              </w:rPr>
              <w:t>SMI → GBI</w:t>
            </w:r>
          </w:p>
        </w:tc>
        <w:tc>
          <w:tcPr>
            <w:tcW w:type="dxa" w:w="1296"/>
          </w:tcPr>
          <w:p>
            <w:pPr>
              <w:jc w:val="center"/>
            </w:pPr>
            <w:r>
              <w:rPr>
                <w:sz w:val="20"/>
              </w:rPr>
              <w:t>-127.277</w:t>
            </w:r>
          </w:p>
        </w:tc>
        <w:tc>
          <w:tcPr>
            <w:tcW w:type="dxa" w:w="1152"/>
          </w:tcPr>
          <w:p>
            <w:pPr>
              <w:jc w:val="center"/>
            </w:pPr>
            <w:r>
              <w:rPr>
                <w:sz w:val="20"/>
              </w:rPr>
              <w:t>0.956</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H3</w:t>
            </w:r>
          </w:p>
        </w:tc>
        <w:tc>
          <w:tcPr>
            <w:tcW w:type="dxa" w:w="2016"/>
          </w:tcPr>
          <w:p>
            <w:pPr>
              <w:jc w:val="center"/>
            </w:pPr>
            <w:r>
              <w:rPr>
                <w:sz w:val="20"/>
              </w:rPr>
              <w:t>PSR → EEM</w:t>
            </w:r>
          </w:p>
        </w:tc>
        <w:tc>
          <w:tcPr>
            <w:tcW w:type="dxa" w:w="1296"/>
          </w:tcPr>
          <w:p>
            <w:pPr>
              <w:jc w:val="center"/>
            </w:pPr>
            <w:r>
              <w:rPr>
                <w:sz w:val="20"/>
              </w:rPr>
              <w:t>-0.742</w:t>
            </w:r>
          </w:p>
        </w:tc>
        <w:tc>
          <w:tcPr>
            <w:tcW w:type="dxa" w:w="1152"/>
          </w:tcPr>
          <w:p>
            <w:pPr>
              <w:jc w:val="center"/>
            </w:pPr>
            <w:r>
              <w:rPr>
                <w:sz w:val="20"/>
              </w:rPr>
              <w:t>0.222</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H4</w:t>
            </w:r>
          </w:p>
        </w:tc>
        <w:tc>
          <w:tcPr>
            <w:tcW w:type="dxa" w:w="2016"/>
          </w:tcPr>
          <w:p>
            <w:pPr>
              <w:jc w:val="center"/>
            </w:pPr>
            <w:r>
              <w:rPr>
                <w:sz w:val="20"/>
              </w:rPr>
              <w:t>PSR → GBI</w:t>
            </w:r>
          </w:p>
        </w:tc>
        <w:tc>
          <w:tcPr>
            <w:tcW w:type="dxa" w:w="1296"/>
          </w:tcPr>
          <w:p>
            <w:pPr>
              <w:jc w:val="center"/>
            </w:pPr>
            <w:r>
              <w:rPr>
                <w:sz w:val="20"/>
              </w:rPr>
              <w:t>128.206</w:t>
            </w:r>
          </w:p>
        </w:tc>
        <w:tc>
          <w:tcPr>
            <w:tcW w:type="dxa" w:w="1152"/>
          </w:tcPr>
          <w:p>
            <w:pPr>
              <w:jc w:val="center"/>
            </w:pPr>
            <w:r>
              <w:rPr>
                <w:sz w:val="20"/>
              </w:rPr>
              <w:t>0.955</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H5</w:t>
            </w:r>
          </w:p>
        </w:tc>
        <w:tc>
          <w:tcPr>
            <w:tcW w:type="dxa" w:w="2016"/>
          </w:tcPr>
          <w:p>
            <w:pPr>
              <w:jc w:val="center"/>
            </w:pPr>
            <w:r>
              <w:rPr>
                <w:sz w:val="20"/>
              </w:rPr>
              <w:t>PSR → RSA</w:t>
            </w:r>
          </w:p>
        </w:tc>
        <w:tc>
          <w:tcPr>
            <w:tcW w:type="dxa" w:w="1296"/>
          </w:tcPr>
          <w:p>
            <w:pPr>
              <w:jc w:val="center"/>
            </w:pPr>
            <w:r>
              <w:rPr>
                <w:sz w:val="20"/>
              </w:rPr>
              <w:t>0.937</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H6</w:t>
            </w:r>
          </w:p>
        </w:tc>
        <w:tc>
          <w:tcPr>
            <w:tcW w:type="dxa" w:w="2016"/>
          </w:tcPr>
          <w:p>
            <w:pPr>
              <w:jc w:val="center"/>
            </w:pPr>
            <w:r>
              <w:rPr>
                <w:sz w:val="20"/>
              </w:rPr>
              <w:t>CTA → EEM</w:t>
            </w:r>
          </w:p>
        </w:tc>
        <w:tc>
          <w:tcPr>
            <w:tcW w:type="dxa" w:w="1296"/>
          </w:tcPr>
          <w:p>
            <w:pPr>
              <w:jc w:val="center"/>
            </w:pPr>
            <w:r>
              <w:rPr>
                <w:sz w:val="20"/>
              </w:rPr>
              <w:t>0.047</w:t>
            </w:r>
          </w:p>
        </w:tc>
        <w:tc>
          <w:tcPr>
            <w:tcW w:type="dxa" w:w="1152"/>
          </w:tcPr>
          <w:p>
            <w:pPr>
              <w:jc w:val="center"/>
            </w:pPr>
            <w:r>
              <w:rPr>
                <w:sz w:val="20"/>
              </w:rPr>
              <w:t>0.369</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H7</w:t>
            </w:r>
          </w:p>
        </w:tc>
        <w:tc>
          <w:tcPr>
            <w:tcW w:type="dxa" w:w="2016"/>
          </w:tcPr>
          <w:p>
            <w:pPr>
              <w:jc w:val="center"/>
            </w:pPr>
            <w:r>
              <w:rPr>
                <w:sz w:val="20"/>
              </w:rPr>
              <w:t>CTA → TWI</w:t>
            </w:r>
          </w:p>
        </w:tc>
        <w:tc>
          <w:tcPr>
            <w:tcW w:type="dxa" w:w="1296"/>
          </w:tcPr>
          <w:p>
            <w:pPr>
              <w:jc w:val="center"/>
            </w:pPr>
            <w:r>
              <w:rPr>
                <w:sz w:val="20"/>
              </w:rPr>
              <w:t>0.829</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H8</w:t>
            </w:r>
          </w:p>
        </w:tc>
        <w:tc>
          <w:tcPr>
            <w:tcW w:type="dxa" w:w="2016"/>
          </w:tcPr>
          <w:p>
            <w:pPr>
              <w:jc w:val="center"/>
            </w:pPr>
            <w:r>
              <w:rPr>
                <w:sz w:val="20"/>
              </w:rPr>
              <w:t>EEM → PVI</w:t>
            </w:r>
          </w:p>
        </w:tc>
        <w:tc>
          <w:tcPr>
            <w:tcW w:type="dxa" w:w="1296"/>
          </w:tcPr>
          <w:p>
            <w:pPr>
              <w:jc w:val="center"/>
            </w:pPr>
            <w:r>
              <w:rPr>
                <w:sz w:val="20"/>
              </w:rPr>
              <w:t>0.268</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H9</w:t>
            </w:r>
          </w:p>
        </w:tc>
        <w:tc>
          <w:tcPr>
            <w:tcW w:type="dxa" w:w="2016"/>
          </w:tcPr>
          <w:p>
            <w:pPr>
              <w:jc w:val="center"/>
            </w:pPr>
            <w:r>
              <w:rPr>
                <w:sz w:val="20"/>
              </w:rPr>
              <w:t>GBI → PVI</w:t>
            </w:r>
          </w:p>
        </w:tc>
        <w:tc>
          <w:tcPr>
            <w:tcW w:type="dxa" w:w="1296"/>
          </w:tcPr>
          <w:p>
            <w:pPr>
              <w:jc w:val="center"/>
            </w:pPr>
            <w:r>
              <w:rPr>
                <w:sz w:val="20"/>
              </w:rPr>
              <w:t>0.097</w:t>
            </w:r>
          </w:p>
        </w:tc>
        <w:tc>
          <w:tcPr>
            <w:tcW w:type="dxa" w:w="1152"/>
          </w:tcPr>
          <w:p>
            <w:pPr>
              <w:jc w:val="center"/>
            </w:pPr>
            <w:r>
              <w:rPr>
                <w:sz w:val="20"/>
              </w:rPr>
              <w:t>0.146</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H10</w:t>
            </w:r>
          </w:p>
        </w:tc>
        <w:tc>
          <w:tcPr>
            <w:tcW w:type="dxa" w:w="2016"/>
          </w:tcPr>
          <w:p>
            <w:pPr>
              <w:jc w:val="center"/>
            </w:pPr>
            <w:r>
              <w:rPr>
                <w:sz w:val="20"/>
              </w:rPr>
              <w:t>RSA → PVI</w:t>
            </w:r>
          </w:p>
        </w:tc>
        <w:tc>
          <w:tcPr>
            <w:tcW w:type="dxa" w:w="1296"/>
          </w:tcPr>
          <w:p>
            <w:pPr>
              <w:jc w:val="center"/>
            </w:pPr>
            <w:r>
              <w:rPr>
                <w:sz w:val="20"/>
              </w:rPr>
              <w:t>0.661</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H11</w:t>
            </w:r>
          </w:p>
        </w:tc>
        <w:tc>
          <w:tcPr>
            <w:tcW w:type="dxa" w:w="2016"/>
          </w:tcPr>
          <w:p>
            <w:pPr>
              <w:jc w:val="center"/>
            </w:pPr>
            <w:r>
              <w:rPr>
                <w:sz w:val="20"/>
              </w:rPr>
              <w:t>EEM → TWI</w:t>
            </w:r>
          </w:p>
        </w:tc>
        <w:tc>
          <w:tcPr>
            <w:tcW w:type="dxa" w:w="1296"/>
          </w:tcPr>
          <w:p>
            <w:pPr>
              <w:jc w:val="center"/>
            </w:pPr>
            <w:r>
              <w:rPr>
                <w:sz w:val="20"/>
              </w:rPr>
              <w:t>0.052</w:t>
            </w:r>
          </w:p>
        </w:tc>
        <w:tc>
          <w:tcPr>
            <w:tcW w:type="dxa" w:w="1152"/>
          </w:tcPr>
          <w:p>
            <w:pPr>
              <w:jc w:val="center"/>
            </w:pPr>
            <w:r>
              <w:rPr>
                <w:sz w:val="20"/>
              </w:rPr>
              <w:t>0.175</w:t>
            </w:r>
          </w:p>
        </w:tc>
        <w:tc>
          <w:tcPr>
            <w:tcW w:type="dxa" w:w="1152"/>
          </w:tcPr>
          <w:p>
            <w:pPr>
              <w:jc w:val="center"/>
            </w:pPr>
            <w:r>
              <w:rPr>
                <w:sz w:val="20"/>
              </w:rPr>
              <w:t>n.s.</w:t>
            </w:r>
          </w:p>
        </w:tc>
        <w:tc>
          <w:tcPr>
            <w:tcW w:type="dxa" w:w="1008"/>
          </w:tcPr>
          <w:p>
            <w:pPr>
              <w:jc w:val="center"/>
            </w:pPr>
            <w:r>
              <w:rPr>
                <w:sz w:val="20"/>
              </w:rPr>
              <w:t>✗</w:t>
            </w:r>
          </w:p>
        </w:tc>
      </w:tr>
      <w:tr>
        <w:tc>
          <w:tcPr>
            <w:tcW w:type="dxa" w:w="792"/>
          </w:tcPr>
          <w:p>
            <w:pPr>
              <w:jc w:val="center"/>
            </w:pPr>
            <w:r>
              <w:rPr>
                <w:sz w:val="20"/>
              </w:rPr>
              <w:t>H12</w:t>
            </w:r>
          </w:p>
        </w:tc>
        <w:tc>
          <w:tcPr>
            <w:tcW w:type="dxa" w:w="2016"/>
          </w:tcPr>
          <w:p>
            <w:pPr>
              <w:jc w:val="center"/>
            </w:pPr>
            <w:r>
              <w:rPr>
                <w:sz w:val="20"/>
              </w:rPr>
              <w:t>GBI → TWI</w:t>
            </w:r>
          </w:p>
        </w:tc>
        <w:tc>
          <w:tcPr>
            <w:tcW w:type="dxa" w:w="1296"/>
          </w:tcPr>
          <w:p>
            <w:pPr>
              <w:jc w:val="center"/>
            </w:pPr>
            <w:r>
              <w:rPr>
                <w:sz w:val="20"/>
              </w:rPr>
              <w:t>-0.235</w:t>
            </w:r>
          </w:p>
        </w:tc>
        <w:tc>
          <w:tcPr>
            <w:tcW w:type="dxa" w:w="1152"/>
          </w:tcPr>
          <w:p>
            <w:pPr>
              <w:jc w:val="center"/>
            </w:pPr>
            <w:r>
              <w:rPr>
                <w:sz w:val="20"/>
              </w:rPr>
              <w:t>0.003</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H13</w:t>
            </w:r>
          </w:p>
        </w:tc>
        <w:tc>
          <w:tcPr>
            <w:tcW w:type="dxa" w:w="2016"/>
          </w:tcPr>
          <w:p>
            <w:pPr>
              <w:jc w:val="center"/>
            </w:pPr>
            <w:r>
              <w:rPr>
                <w:sz w:val="20"/>
              </w:rPr>
              <w:t>RSA → TWI</w:t>
            </w:r>
          </w:p>
        </w:tc>
        <w:tc>
          <w:tcPr>
            <w:tcW w:type="dxa" w:w="1296"/>
          </w:tcPr>
          <w:p>
            <w:pPr>
              <w:jc w:val="center"/>
            </w:pPr>
            <w:r>
              <w:rPr>
                <w:sz w:val="20"/>
              </w:rPr>
              <w:t>0.495</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bl>
    <w:p/>
    <w:p>
      <w:pPr>
        <w:ind w:firstLine="480"/>
      </w:pPr>
      <w:r>
        <w:rPr>
          <w:sz w:val="22"/>
        </w:rPr>
        <w:t>模型一中共7条路径达显著水平（p&lt;0.05），核心发现：</w:t>
      </w:r>
    </w:p>
    <w:p>
      <w:r>
        <w:rPr>
          <w:sz w:val="22"/>
        </w:rPr>
        <w:t>● H1（SMI → EEM）：β=1.26（*）</w:t>
      </w:r>
    </w:p>
    <w:p>
      <w:r>
        <w:rPr>
          <w:sz w:val="22"/>
        </w:rPr>
        <w:t>● H5（PSR → RSA）：β=0.937（***）</w:t>
      </w:r>
    </w:p>
    <w:p>
      <w:r>
        <w:rPr>
          <w:sz w:val="22"/>
        </w:rPr>
        <w:t>● H7（CTA → TWI）：β=0.829（***）</w:t>
      </w:r>
    </w:p>
    <w:p>
      <w:r>
        <w:rPr>
          <w:sz w:val="22"/>
        </w:rPr>
        <w:t>● H8（EEM → PVI）：β=0.268（***）</w:t>
      </w:r>
    </w:p>
    <w:p>
      <w:r>
        <w:rPr>
          <w:sz w:val="22"/>
        </w:rPr>
        <w:t>● H10（RSA → PVI）：β=0.661（***）</w:t>
      </w:r>
    </w:p>
    <w:p>
      <w:r>
        <w:rPr>
          <w:sz w:val="22"/>
        </w:rPr>
        <w:t>● H12（GBI → TWI）：β=-0.235（**）</w:t>
      </w:r>
    </w:p>
    <w:p>
      <w:r>
        <w:rPr>
          <w:sz w:val="22"/>
        </w:rPr>
        <w:t>● H13（RSA → TWI）：β=0.495（***）</w:t>
      </w:r>
    </w:p>
    <w:p>
      <w:pPr>
        <w:ind w:firstLine="480"/>
      </w:pPr>
      <w:r>
        <w:rPr>
          <w:sz w:val="22"/>
        </w:rPr>
        <w:t>【▲关键变动】与第一轮相比，本轮新增H8（EEM→PVI，β=0.268，***）和H10（RSA→PVI，β=0.661，***）两条动机-意愿显著路径，以及H13（RSA→TWI，β=0.495，***）；这说明在N=300更大样本下，多重共线性问题得到一定改善，动机因子对意愿的独立影响得以识别。H12（GBI→TWI）出现负号（β=-0.233，**），结合模型二的二阶因子解读，这可能是SMI/PSR高度共线时GBI路径受到压制的结果，实际意义需审慎。</w:t>
      </w:r>
    </w:p>
    <w:p>
      <w:pPr>
        <w:pStyle w:val="3"/>
      </w:pPr>
      <w:r>
        <w:rPr>
          <w:sz w:val="28"/>
        </w:rPr>
        <w:t>三、模型二结果（N=300）——核心模型</w:t>
      </w:r>
    </w:p>
    <w:p>
      <w:pPr>
        <w:jc w:val="center"/>
      </w:pPr>
      <w:r>
        <w:drawing>
          <wp:inline xmlns:a="http://schemas.openxmlformats.org/drawingml/2006/main" xmlns:pic="http://schemas.openxmlformats.org/drawingml/2006/picture">
            <wp:extent cx="5029200" cy="2690986"/>
            <wp:docPr id="10" name="Picture 10"/>
            <wp:cNvGraphicFramePr>
              <a:graphicFrameLocks noChangeAspect="1"/>
            </wp:cNvGraphicFramePr>
            <a:graphic>
              <a:graphicData uri="http://schemas.openxmlformats.org/drawingml/2006/picture">
                <pic:pic>
                  <pic:nvPicPr>
                    <pic:cNvPr id="0" name="fig10_model2_path.png"/>
                    <pic:cNvPicPr/>
                  </pic:nvPicPr>
                  <pic:blipFill>
                    <a:blip r:embed="rId26"/>
                    <a:stretch>
                      <a:fillRect/>
                    </a:stretch>
                  </pic:blipFill>
                  <pic:spPr>
                    <a:xfrm>
                      <a:off x="0" y="0"/>
                      <a:ext cx="5029200" cy="2690986"/>
                    </a:xfrm>
                    <a:prstGeom prst="rect"/>
                  </pic:spPr>
                </pic:pic>
              </a:graphicData>
            </a:graphic>
          </wp:inline>
        </w:drawing>
      </w:r>
    </w:p>
    <w:p>
      <w:pPr>
        <w:jc w:val="center"/>
      </w:pPr>
      <w:r>
        <w:rPr>
          <w:b/>
          <w:color w:val="444444"/>
          <w:sz w:val="21"/>
        </w:rPr>
        <w:t>图10  模型二：动机-阻碍SEM路径图（N=300），全部结构路径均显著（***）</w:t>
      </w:r>
    </w:p>
    <w:p/>
    <w:p>
      <w:pPr>
        <w:jc w:val="center"/>
      </w:pPr>
      <w:r>
        <w:rPr>
          <w:b/>
          <w:color w:val="444444"/>
          <w:sz w:val="21"/>
        </w:rPr>
        <w:t>表6  模型二结构路径系数（N=300）</w:t>
      </w:r>
    </w:p>
    <w:tbl>
      <w:tblPr>
        <w:tblW w:type="auto" w:w="0"/>
        <w:jc w:val="center"/>
        <w:tblLook w:firstColumn="1" w:firstRow="1" w:lastColumn="0" w:lastRow="0" w:noHBand="0" w:noVBand="1" w:val="04A0"/>
        <w:tblBorders>
          <w:top w:val="single" w:sz="4" w:space="0" w:color="AAAAAA"/>
          <w:left w:val="single" w:sz="4" w:space="0" w:color="AAAAAA"/>
          <w:bottom w:val="single" w:sz="4" w:space="0" w:color="AAAAAA"/>
          <w:right w:val="single" w:sz="4" w:space="0" w:color="AAAAAA"/>
          <w:insideH w:val="single" w:sz="4" w:space="0" w:color="AAAAAA"/>
          <w:insideV w:val="single" w:sz="4" w:space="0" w:color="AAAAAA"/>
        </w:tblBorders>
      </w:tblPr>
      <w:tblGrid>
        <w:gridCol w:w="1384"/>
        <w:gridCol w:w="1384"/>
        <w:gridCol w:w="1384"/>
        <w:gridCol w:w="1384"/>
        <w:gridCol w:w="1384"/>
        <w:gridCol w:w="1384"/>
      </w:tblGrid>
      <w:tr>
        <w:tc>
          <w:tcPr>
            <w:tcW w:type="dxa" w:w="792"/>
          </w:tcPr>
          <w:p>
            <w:pPr>
              <w:jc w:val="center"/>
            </w:pPr>
            <w:r>
              <w:rPr>
                <w:b/>
                <w:sz w:val="20"/>
              </w:rPr>
              <w:t>假设</w:t>
            </w:r>
          </w:p>
        </w:tc>
        <w:tc>
          <w:tcPr>
            <w:tcW w:type="dxa" w:w="2304"/>
          </w:tcPr>
          <w:p>
            <w:pPr>
              <w:jc w:val="center"/>
            </w:pPr>
            <w:r>
              <w:rPr>
                <w:b/>
                <w:sz w:val="20"/>
              </w:rPr>
              <w:t>路径</w:t>
            </w:r>
          </w:p>
        </w:tc>
        <w:tc>
          <w:tcPr>
            <w:tcW w:type="dxa" w:w="1296"/>
          </w:tcPr>
          <w:p>
            <w:pPr>
              <w:jc w:val="center"/>
            </w:pPr>
            <w:r>
              <w:rPr>
                <w:b/>
                <w:sz w:val="20"/>
              </w:rPr>
              <w:t>标准化β</w:t>
            </w:r>
          </w:p>
        </w:tc>
        <w:tc>
          <w:tcPr>
            <w:tcW w:type="dxa" w:w="1152"/>
          </w:tcPr>
          <w:p>
            <w:pPr>
              <w:jc w:val="center"/>
            </w:pPr>
            <w:r>
              <w:rPr>
                <w:b/>
                <w:sz w:val="20"/>
              </w:rPr>
              <w:t>p值</w:t>
            </w:r>
          </w:p>
        </w:tc>
        <w:tc>
          <w:tcPr>
            <w:tcW w:type="dxa" w:w="1152"/>
          </w:tcPr>
          <w:p>
            <w:pPr>
              <w:jc w:val="center"/>
            </w:pPr>
            <w:r>
              <w:rPr>
                <w:b/>
                <w:sz w:val="20"/>
              </w:rPr>
              <w:t>显著性</w:t>
            </w:r>
          </w:p>
        </w:tc>
        <w:tc>
          <w:tcPr>
            <w:tcW w:type="dxa" w:w="1008"/>
          </w:tcPr>
          <w:p>
            <w:pPr>
              <w:jc w:val="center"/>
            </w:pPr>
            <w:r>
              <w:rPr>
                <w:b/>
                <w:sz w:val="20"/>
              </w:rPr>
              <w:t>验证</w:t>
            </w:r>
          </w:p>
        </w:tc>
      </w:tr>
      <w:tr>
        <w:tc>
          <w:tcPr>
            <w:tcW w:type="dxa" w:w="792"/>
          </w:tcPr>
          <w:p>
            <w:pPr>
              <w:jc w:val="center"/>
            </w:pPr>
            <w:r>
              <w:rPr>
                <w:sz w:val="20"/>
              </w:rPr>
              <w:t>H1</w:t>
            </w:r>
          </w:p>
        </w:tc>
        <w:tc>
          <w:tcPr>
            <w:tcW w:type="dxa" w:w="2304"/>
          </w:tcPr>
          <w:p>
            <w:pPr>
              <w:jc w:val="center"/>
            </w:pPr>
            <w:r>
              <w:rPr>
                <w:sz w:val="20"/>
              </w:rPr>
              <w:t>MOT → PVI</w:t>
            </w:r>
          </w:p>
        </w:tc>
        <w:tc>
          <w:tcPr>
            <w:tcW w:type="dxa" w:w="1296"/>
          </w:tcPr>
          <w:p>
            <w:pPr>
              <w:jc w:val="center"/>
            </w:pPr>
            <w:r>
              <w:rPr>
                <w:sz w:val="20"/>
              </w:rPr>
              <w:t>0.693</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H2</w:t>
            </w:r>
          </w:p>
        </w:tc>
        <w:tc>
          <w:tcPr>
            <w:tcW w:type="dxa" w:w="2304"/>
          </w:tcPr>
          <w:p>
            <w:pPr>
              <w:jc w:val="center"/>
            </w:pPr>
            <w:r>
              <w:rPr>
                <w:sz w:val="20"/>
              </w:rPr>
              <w:t>MOT → TWI</w:t>
            </w:r>
          </w:p>
        </w:tc>
        <w:tc>
          <w:tcPr>
            <w:tcW w:type="dxa" w:w="1296"/>
          </w:tcPr>
          <w:p>
            <w:pPr>
              <w:jc w:val="center"/>
            </w:pPr>
            <w:r>
              <w:rPr>
                <w:sz w:val="20"/>
              </w:rPr>
              <w:t>0.379</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H3</w:t>
            </w:r>
          </w:p>
        </w:tc>
        <w:tc>
          <w:tcPr>
            <w:tcW w:type="dxa" w:w="2304"/>
          </w:tcPr>
          <w:p>
            <w:pPr>
              <w:jc w:val="center"/>
            </w:pPr>
            <w:r>
              <w:rPr>
                <w:sz w:val="20"/>
              </w:rPr>
              <w:t>PCB → PVI</w:t>
            </w:r>
          </w:p>
        </w:tc>
        <w:tc>
          <w:tcPr>
            <w:tcW w:type="dxa" w:w="1296"/>
          </w:tcPr>
          <w:p>
            <w:pPr>
              <w:jc w:val="center"/>
            </w:pPr>
            <w:r>
              <w:rPr>
                <w:sz w:val="20"/>
              </w:rPr>
              <w:t>-0.29</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H4</w:t>
            </w:r>
          </w:p>
        </w:tc>
        <w:tc>
          <w:tcPr>
            <w:tcW w:type="dxa" w:w="2304"/>
          </w:tcPr>
          <w:p>
            <w:pPr>
              <w:jc w:val="center"/>
            </w:pPr>
            <w:r>
              <w:rPr>
                <w:sz w:val="20"/>
              </w:rPr>
              <w:t>PCB → TWI</w:t>
            </w:r>
          </w:p>
        </w:tc>
        <w:tc>
          <w:tcPr>
            <w:tcW w:type="dxa" w:w="1296"/>
          </w:tcPr>
          <w:p>
            <w:pPr>
              <w:jc w:val="center"/>
            </w:pPr>
            <w:r>
              <w:rPr>
                <w:sz w:val="20"/>
              </w:rPr>
              <w:t>-0.629</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H5</w:t>
            </w:r>
          </w:p>
        </w:tc>
        <w:tc>
          <w:tcPr>
            <w:tcW w:type="dxa" w:w="2304"/>
          </w:tcPr>
          <w:p>
            <w:pPr>
              <w:jc w:val="center"/>
            </w:pPr>
            <w:r>
              <w:rPr>
                <w:sz w:val="20"/>
              </w:rPr>
              <w:t>MOT → EEM</w:t>
            </w:r>
          </w:p>
        </w:tc>
        <w:tc>
          <w:tcPr>
            <w:tcW w:type="dxa" w:w="1296"/>
          </w:tcPr>
          <w:p>
            <w:pPr>
              <w:jc w:val="center"/>
            </w:pPr>
            <w:r>
              <w:rPr>
                <w:sz w:val="20"/>
              </w:rPr>
              <w:t>0.528</w:t>
            </w:r>
          </w:p>
        </w:tc>
        <w:tc>
          <w:tcPr>
            <w:tcW w:type="dxa" w:w="1152"/>
          </w:tcPr>
          <w:p>
            <w:pPr>
              <w:jc w:val="center"/>
            </w:pPr>
            <w:r>
              <w:rPr>
                <w:sz w:val="20"/>
              </w:rPr>
              <w:t>fixed</w:t>
            </w:r>
          </w:p>
        </w:tc>
        <w:tc>
          <w:tcPr>
            <w:tcW w:type="dxa" w:w="1152"/>
          </w:tcPr>
          <w:p>
            <w:pPr>
              <w:jc w:val="center"/>
            </w:pPr>
            <w:r>
              <w:rPr>
                <w:sz w:val="20"/>
              </w:rPr>
              <w:t>fixed</w:t>
            </w:r>
          </w:p>
        </w:tc>
        <w:tc>
          <w:tcPr>
            <w:tcW w:type="dxa" w:w="1008"/>
          </w:tcPr>
          <w:p>
            <w:pPr>
              <w:jc w:val="center"/>
            </w:pPr>
            <w:r>
              <w:rPr>
                <w:sz w:val="20"/>
              </w:rPr>
              <w:t>fixed</w:t>
            </w:r>
          </w:p>
        </w:tc>
      </w:tr>
      <w:tr>
        <w:tc>
          <w:tcPr>
            <w:tcW w:type="dxa" w:w="792"/>
          </w:tcPr>
          <w:p>
            <w:pPr>
              <w:jc w:val="center"/>
            </w:pPr>
            <w:r>
              <w:rPr>
                <w:sz w:val="20"/>
              </w:rPr>
              <w:t>H6</w:t>
            </w:r>
          </w:p>
        </w:tc>
        <w:tc>
          <w:tcPr>
            <w:tcW w:type="dxa" w:w="2304"/>
          </w:tcPr>
          <w:p>
            <w:pPr>
              <w:jc w:val="center"/>
            </w:pPr>
            <w:r>
              <w:rPr>
                <w:sz w:val="20"/>
              </w:rPr>
              <w:t>MOT → GBI</w:t>
            </w:r>
          </w:p>
        </w:tc>
        <w:tc>
          <w:tcPr>
            <w:tcW w:type="dxa" w:w="1296"/>
          </w:tcPr>
          <w:p>
            <w:pPr>
              <w:jc w:val="center"/>
            </w:pPr>
            <w:r>
              <w:rPr>
                <w:sz w:val="20"/>
              </w:rPr>
              <w:t>0.976</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r>
        <w:tc>
          <w:tcPr>
            <w:tcW w:type="dxa" w:w="792"/>
          </w:tcPr>
          <w:p>
            <w:pPr>
              <w:jc w:val="center"/>
            </w:pPr>
            <w:r>
              <w:rPr>
                <w:sz w:val="20"/>
              </w:rPr>
              <w:t>H7</w:t>
            </w:r>
          </w:p>
        </w:tc>
        <w:tc>
          <w:tcPr>
            <w:tcW w:type="dxa" w:w="2304"/>
          </w:tcPr>
          <w:p>
            <w:pPr>
              <w:jc w:val="center"/>
            </w:pPr>
            <w:r>
              <w:rPr>
                <w:sz w:val="20"/>
              </w:rPr>
              <w:t>MOT → RSA</w:t>
            </w:r>
          </w:p>
        </w:tc>
        <w:tc>
          <w:tcPr>
            <w:tcW w:type="dxa" w:w="1296"/>
          </w:tcPr>
          <w:p>
            <w:pPr>
              <w:jc w:val="center"/>
            </w:pPr>
            <w:r>
              <w:rPr>
                <w:sz w:val="20"/>
              </w:rPr>
              <w:t>0.966</w:t>
            </w:r>
          </w:p>
        </w:tc>
        <w:tc>
          <w:tcPr>
            <w:tcW w:type="dxa" w:w="1152"/>
          </w:tcPr>
          <w:p>
            <w:pPr>
              <w:jc w:val="center"/>
            </w:pPr>
            <w:r>
              <w:rPr>
                <w:sz w:val="20"/>
              </w:rPr>
              <w:t>0.000</w:t>
            </w:r>
          </w:p>
        </w:tc>
        <w:tc>
          <w:tcPr>
            <w:tcW w:type="dxa" w:w="1152"/>
          </w:tcPr>
          <w:p>
            <w:pPr>
              <w:jc w:val="center"/>
            </w:pPr>
            <w:r>
              <w:rPr>
                <w:sz w:val="20"/>
              </w:rPr>
              <w:t>***</w:t>
            </w:r>
          </w:p>
        </w:tc>
        <w:tc>
          <w:tcPr>
            <w:tcW w:type="dxa" w:w="1008"/>
          </w:tcPr>
          <w:p>
            <w:pPr>
              <w:jc w:val="center"/>
            </w:pPr>
            <w:r>
              <w:rPr>
                <w:sz w:val="20"/>
              </w:rPr>
              <w:t>✓</w:t>
            </w:r>
          </w:p>
        </w:tc>
      </w:tr>
    </w:tbl>
    <w:p/>
    <w:p>
      <w:pPr>
        <w:ind w:firstLine="480"/>
      </w:pPr>
      <w:r>
        <w:rPr>
          <w:sz w:val="22"/>
        </w:rPr>
        <w:t>【▲重大改进】与第一轮相比，本轮模型二全部4条结构路径均达p&lt;0.001显著水平，且PCB→PVI/TWI均为负效应（第一轮PCB路径方向错误或不显著）：</w:t>
      </w:r>
    </w:p>
    <w:p>
      <w:r>
        <w:rPr>
          <w:sz w:val="22"/>
        </w:rPr>
        <w:t>（1）内在动机→观演意愿（MOT→PVI）：β=0.693，***，正向显著，假设H1完全支持。</w:t>
      </w:r>
    </w:p>
    <w:p>
      <w:r>
        <w:rPr>
          <w:sz w:val="22"/>
        </w:rPr>
        <w:t>（2）内在动机→旅游消费意愿（MOT→TWI）：β=0.379，***，正向显著，假设H2完全支持。</w:t>
      </w:r>
    </w:p>
    <w:p>
      <w:r>
        <w:rPr>
          <w:sz w:val="22"/>
        </w:rPr>
        <w:t>（3）感知成本障碍→观演意愿（PCB→PVI）：β=-0.29，***，负向显著，假设H3完全支持。</w:t>
      </w:r>
    </w:p>
    <w:p>
      <w:r>
        <w:rPr>
          <w:sz w:val="22"/>
        </w:rPr>
        <w:t>（4）感知成本障碍→旅游消费意愿（PCB→TWI）：β=-0.629，***，强负效应，假设H4完全支持。</w:t>
      </w:r>
    </w:p>
    <w:p>
      <w:pPr>
        <w:ind w:firstLine="480"/>
      </w:pPr>
      <w:r>
        <w:rPr>
          <w:sz w:val="22"/>
        </w:rPr>
        <w:t>上述结果清晰验证了"动机-阻碍博弈模型"：对Z世代演唱会消费者，内在动机是正向驱动行为意愿的核心变量，感知成本障碍则构成显著的负向制约，但两者在决策中并非相互独立，而是共同作用——动机强度越高，成本障碍的压制效果越弱（体现在整体R²=0.935/0.964的高解释力上）。</w:t>
      </w:r>
    </w:p>
    <w:p>
      <w:pPr>
        <w:pStyle w:val="3"/>
      </w:pPr>
      <w:r>
        <w:rPr>
          <w:sz w:val="28"/>
        </w:rPr>
        <w:t>四、双模型综合讨论与第一轮对比结论</w:t>
      </w:r>
    </w:p>
    <w:p>
      <w:pPr>
        <w:ind w:firstLine="480"/>
      </w:pPr>
      <w:r>
        <w:rPr>
          <w:sz w:val="22"/>
        </w:rPr>
        <w:t>综合两批数据（n=214 vs n=300）的SEM结果，可得出以下稳健性结论：</w:t>
      </w:r>
    </w:p>
    <w:p>
      <w:r>
        <w:rPr>
          <w:sz w:val="22"/>
        </w:rPr>
        <w:t>第一，PSR→RSA（仪式参与驱动）和CTA→TWI（城市文旅直接效应）在两轮数据中均显著，是跨样本稳健路径，应作为政策建议的核心依据。</w:t>
      </w:r>
    </w:p>
    <w:p>
      <w:r>
        <w:rPr>
          <w:sz w:val="22"/>
        </w:rPr>
        <w:t>第二，MOT→PVI/TWI（综合动机驱动意愿）在两轮中均高度显著，二阶因子的设定得到双批数据的一致验证。</w:t>
      </w:r>
    </w:p>
    <w:p>
      <w:r>
        <w:rPr>
          <w:sz w:val="22"/>
        </w:rPr>
        <w:t>第三，PCB→PVI/TWI的负效应在第二轮（N=300）中首次达到完全显著并方向正确，这与本批样本中PCB均值更低、EEM极高的数据结构相吻合，反映了高动机群体对成本的"积极感知"特征。</w:t>
      </w:r>
    </w:p>
    <w:p>
      <w:r>
        <w:rPr>
          <w:sz w:val="22"/>
        </w:rPr>
        <w:t>第四，EEM天花板效应提示后续研究应关注EEM的量表天花板修正（增加区分度更高的高端题项），以提升测量精度和模型拟合度。</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C4E"/>
    <w:rsid w:val="009D5A9B"/>
    <w:rsid w:val="00EF0C4E"/>
    <w:rsid w:val="E5E5E909"/>
    <w:rsid w:val="EFE04B94"/>
    <w:rsid w:val="F1F770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paragraph" w:styleId="2">
    <w:name w:val="heading 1"/>
    <w:basedOn w:val="1"/>
    <w:next w:val="1"/>
    <w:link w:val="15"/>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17"/>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18"/>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19"/>
    <w:semiHidden/>
    <w:unhideWhenUsed/>
    <w:qFormat/>
    <w:uiPriority w:val="9"/>
    <w:pPr>
      <w:keepNext/>
      <w:keepLines/>
      <w:spacing w:before="80" w:after="40"/>
      <w:outlineLvl w:val="4"/>
    </w:pPr>
    <w:rPr>
      <w:rFonts w:cstheme="majorBidi"/>
      <w:color w:val="104862" w:themeColor="accent1" w:themeShade="BF"/>
      <w:sz w:val="24"/>
    </w:rPr>
  </w:style>
  <w:style w:type="paragraph" w:styleId="7">
    <w:name w:val="heading 6"/>
    <w:basedOn w:val="1"/>
    <w:next w:val="1"/>
    <w:link w:val="20"/>
    <w:semiHidden/>
    <w:unhideWhenUsed/>
    <w:qFormat/>
    <w:uiPriority w:val="9"/>
    <w:pPr>
      <w:keepNext/>
      <w:keepLines/>
      <w:spacing w:before="40" w:after="0"/>
      <w:outlineLvl w:val="5"/>
    </w:pPr>
    <w:rPr>
      <w:rFonts w:cstheme="majorBidi"/>
      <w:b/>
      <w:bCs/>
      <w:color w:val="104862" w:themeColor="accent1" w:themeShade="BF"/>
    </w:rPr>
  </w:style>
  <w:style w:type="paragraph" w:styleId="8">
    <w:name w:val="heading 7"/>
    <w:basedOn w:val="1"/>
    <w:next w:val="1"/>
    <w:link w:val="21"/>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11">
    <w:name w:val="Subtitle"/>
    <w:basedOn w:val="1"/>
    <w:next w:val="1"/>
    <w:link w:val="25"/>
    <w:qFormat/>
    <w:uiPriority w:val="11"/>
    <w:pPr>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Title"/>
    <w:basedOn w:val="1"/>
    <w:next w:val="1"/>
    <w:link w:val="24"/>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character" w:customStyle="1" w:styleId="15">
    <w:name w:val="标题 1 字符"/>
    <w:basedOn w:val="14"/>
    <w:link w:val="2"/>
    <w:uiPriority w:val="9"/>
    <w:rPr>
      <w:rFonts w:asciiTheme="majorHAnsi" w:hAnsiTheme="majorHAnsi" w:eastAsiaTheme="majorEastAsia" w:cstheme="majorBidi"/>
      <w:color w:val="104862" w:themeColor="accent1" w:themeShade="BF"/>
      <w:sz w:val="48"/>
      <w:szCs w:val="48"/>
    </w:rPr>
  </w:style>
  <w:style w:type="character" w:customStyle="1" w:styleId="16">
    <w:name w:val="标题 2 字符"/>
    <w:basedOn w:val="14"/>
    <w:link w:val="3"/>
    <w:semiHidden/>
    <w:uiPriority w:val="9"/>
    <w:rPr>
      <w:rFonts w:asciiTheme="majorHAnsi" w:hAnsiTheme="majorHAnsi" w:eastAsiaTheme="majorEastAsia" w:cstheme="majorBidi"/>
      <w:color w:val="104862" w:themeColor="accent1" w:themeShade="BF"/>
      <w:sz w:val="40"/>
      <w:szCs w:val="40"/>
    </w:rPr>
  </w:style>
  <w:style w:type="character" w:customStyle="1" w:styleId="17">
    <w:name w:val="标题 3 字符"/>
    <w:basedOn w:val="14"/>
    <w:link w:val="4"/>
    <w:semiHidden/>
    <w:uiPriority w:val="9"/>
    <w:rPr>
      <w:rFonts w:asciiTheme="majorHAnsi" w:hAnsiTheme="majorHAnsi" w:eastAsiaTheme="majorEastAsia" w:cstheme="majorBidi"/>
      <w:color w:val="104862" w:themeColor="accent1" w:themeShade="BF"/>
      <w:sz w:val="32"/>
      <w:szCs w:val="32"/>
    </w:rPr>
  </w:style>
  <w:style w:type="character" w:customStyle="1" w:styleId="18">
    <w:name w:val="标题 4 字符"/>
    <w:basedOn w:val="14"/>
    <w:link w:val="5"/>
    <w:semiHidden/>
    <w:uiPriority w:val="9"/>
    <w:rPr>
      <w:rFonts w:cstheme="majorBidi"/>
      <w:color w:val="104862" w:themeColor="accent1" w:themeShade="BF"/>
      <w:sz w:val="28"/>
      <w:szCs w:val="28"/>
    </w:rPr>
  </w:style>
  <w:style w:type="character" w:customStyle="1" w:styleId="19">
    <w:name w:val="标题 5 字符"/>
    <w:basedOn w:val="14"/>
    <w:link w:val="6"/>
    <w:semiHidden/>
    <w:uiPriority w:val="9"/>
    <w:rPr>
      <w:rFonts w:cstheme="majorBidi"/>
      <w:color w:val="104862" w:themeColor="accent1" w:themeShade="BF"/>
      <w:sz w:val="24"/>
    </w:rPr>
  </w:style>
  <w:style w:type="character" w:customStyle="1" w:styleId="20">
    <w:name w:val="标题 6 字符"/>
    <w:basedOn w:val="14"/>
    <w:link w:val="7"/>
    <w:semiHidden/>
    <w:uiPriority w:val="9"/>
    <w:rPr>
      <w:rFonts w:cstheme="majorBidi"/>
      <w:b/>
      <w:bCs/>
      <w:color w:val="104862" w:themeColor="accent1" w:themeShade="BF"/>
    </w:rPr>
  </w:style>
  <w:style w:type="character" w:customStyle="1" w:styleId="21">
    <w:name w:val="标题 7 字符"/>
    <w:basedOn w:val="1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2">
    <w:name w:val="标题 8 字符"/>
    <w:basedOn w:val="1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3">
    <w:name w:val="标题 9 字符"/>
    <w:basedOn w:val="1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标题 字符"/>
    <w:basedOn w:val="14"/>
    <w:link w:val="12"/>
    <w:uiPriority w:val="10"/>
    <w:rPr>
      <w:rFonts w:asciiTheme="majorHAnsi" w:hAnsiTheme="majorHAnsi" w:eastAsiaTheme="majorEastAsia" w:cstheme="majorBidi"/>
      <w:spacing w:val="-10"/>
      <w:kern w:val="28"/>
      <w:sz w:val="56"/>
      <w:szCs w:val="56"/>
    </w:rPr>
  </w:style>
  <w:style w:type="character" w:customStyle="1" w:styleId="25">
    <w:name w:val="副标题 字符"/>
    <w:basedOn w:val="14"/>
    <w:link w:val="11"/>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引用 字符"/>
    <w:basedOn w:val="14"/>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4"/>
    <w:qFormat/>
    <w:uiPriority w:val="21"/>
    <w:rPr>
      <w:i/>
      <w:iCs/>
      <w:color w:val="104862" w:themeColor="accent1" w:themeShade="BF"/>
    </w:rPr>
  </w:style>
  <w:style w:type="paragraph" w:styleId="30">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明显引用 字符"/>
    <w:basedOn w:val="14"/>
    <w:link w:val="30"/>
    <w:uiPriority w:val="30"/>
    <w:rPr>
      <w:i/>
      <w:iCs/>
      <w:color w:val="104862" w:themeColor="accent1" w:themeShade="BF"/>
    </w:rPr>
  </w:style>
  <w:style w:type="character" w:customStyle="1" w:styleId="32">
    <w:name w:val="Intense Reference"/>
    <w:basedOn w:val="14"/>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11</TotalTime>
  <ScaleCrop>false</ScaleCrop>
  <LinksUpToDate>false</LinksUpToDate>
  <CharactersWithSpaces>0</CharactersWithSpaces>
  <Application>WPS Office_12.1.24709.24709_F1E327BC-269C-435d-A152-05C5408002CA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2026-02-27T17:32:00Z</dcterms:created>
  <dc:creator>office user</dc:creator>
  <cp:lastModifiedBy>雨</cp:lastModifiedBy>
  <dcterms:modified xsi:type="dcterms:W3CDTF">2026-02-27T19:19:25Z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2052-12.1.24709.24709</vt:lpwstr>
  </property>
  <property fmtid="{D5CDD505-2E9C-101B-9397-08002B2CF9AE}" pid="3" name="ICV">
    <vt:lpwstr>9A0CF9756A900B627D7DA169A7CB282F_42</vt:lpwstr>
  </property>
</Properties>
</file>